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1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160"/>
      </w:pPr>
      <w:r>
        <w:rPr>
          <w:sz w:val="21"/>
          <w:szCs w:val="21"/>
        </w:rPr>
        <w:t xml:space="preserve">The point (0, 0) where the two grid lines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160"/>
      </w:pPr>
      <w:r>
        <w:rPr>
          <w:sz w:val="21"/>
          <w:szCs w:val="21"/>
        </w:rPr>
        <w:t xml:space="preserve">One of the four parts of a coordinate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flipped, mirror image across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a treasure map laid over a coordinate plane, why do we always start at the origin (0, 0) and move sideways before moving up or down to reach the treasure?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"origin".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move and the y-coordinate is the up/down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treasure spots (3, 5) and (5, 3) are different locations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spots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map says the treasure is at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"origin"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treasure at (4, 2) lands in and justify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treasure at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on the treasure map like reading directions in a video game or on a real map?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directions from a start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treasure location, including ones with a zero coordinate.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treasure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teammate marked the treasure at (2, 6) by moving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on maps and suggest a strategy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bd9d3c19a9260275206320000a9e7c6c57531e52.png"/><Relationship Id="rId12" Type="http://schemas.openxmlformats.org/officeDocument/2006/relationships/image" Target="media/6422d90998ec2ee4ab489b27f009826f3e180cfd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2026-06-01T16:40:16.097Z</dcterms:created>
  <dcterms:modified xsi:type="dcterms:W3CDTF">2026-06-01T16:40:16.097Z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