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Mean (13.8) — it includes all values</w:t>
      </w:r>
    </w:p>
    <w:p>
      <w:pPr>
        <w:spacing w:after="40"/>
        <w:ind w:left="420"/>
      </w:pPr>
      <w:r>
        <w:rPr>
          <w:sz w:val="20"/>
          <w:szCs w:val="20"/>
        </w:rPr>
        <w:t xml:space="preserve">B)  Both are equally good</w:t>
      </w:r>
    </w:p>
    <w:p>
      <w:pPr>
        <w:spacing w:after="40"/>
        <w:ind w:left="420"/>
      </w:pPr>
      <w:r>
        <w:rPr>
          <w:sz w:val="20"/>
          <w:szCs w:val="20"/>
        </w:rPr>
        <w:t xml:space="preserve">C)  Median (7) — the outlier 50 inflates the mean</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2026-09-20T15:18:26.945Z</dcterms:created>
  <dcterms:modified xsi:type="dcterms:W3CDTF">2026-09-20T15:18:26.945Z</dcterms:modified>
</cp:coreProperties>
</file>

<file path=docProps/custom.xml><?xml version="1.0" encoding="utf-8"?>
<Properties xmlns="http://schemas.openxmlformats.org/officeDocument/2006/custom-properties" xmlns:vt="http://schemas.openxmlformats.org/officeDocument/2006/docPropsVTypes"/>
</file>