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5 Vocabulary Retrieval Guide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existing bilingual vocabulary cards with their diagrams. Study-card use: retrieve the meaning without looking, draw an example and nonexample, then explain which feature distinguishes them. Word-wall use needs a larger display size; do not claim the study-card print is readable across a room.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5.1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parallelogram, base, height, perpendicular, rhombus, diagonal, congruent.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relevant faces or regions are ___ because ___. My labeled dimensions show ___, so the measure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5.2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right triangle, height, congruent, area, formula, inverse operation.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relevant faces or regions are ___ because ___. My labeled dimensions show ___, so the measure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5.3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trapezoid, decompose, height, base, formula, right trapezoid.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relevant faces or regions are ___ because ___. My labeled dimensions show ___, so the measure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5.4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regular polygon, apothem, congruent, composite figure, add, subtract.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relevant faces or regions are ___ because ___. My labeled dimensions show ___, so the measure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5.5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volume, rectangular prism, cubic units, edge, fraction.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relevant faces or regions are ___ because ___. My labeled dimensions show ___, so the measure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5.6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net, face, pyramid, edge, vertex, base.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relevant faces or regions are ___ because ___. My labeled dimensions show ___, so the measure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5.7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surface area, face, congruent, triangular prism, lateral face.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relevant faces or regions are ___ because ___. My labeled dimensions show ___, so the measure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5.8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slant height, lateral face, apex, lateral area, surface area.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relevant faces or regions are ___ because ___. My labeled dimensions show ___, so the measure is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Spanish terms are vocabulary access supports, not a complete Spanish edition. A proficient bilingual review is still required before claiming independently verified translation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5 Vocabulary Retrieval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Vocabulary Retrieval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