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"/>
          <w:u w:val="none"/>
        </w:rPr>
        <w:t xml:space="preserve"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2"/>
          <w:sz w:val="19"/>
          <w:u w:val="none"/>
        </w:rPr>
        <w:t xml:space="preserve">Unit 9  ·  Warm-Up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46"/>
          <w:u w:val="none"/>
        </w:rPr>
        <w:t xml:space="preserve">Warm-Up Answer Key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 xml:space="preserve">Two-variable Relationships</w:t>
      </w:r>
    </w:p>
    <w:p>
      <w:pPr>
        <w:pBdr>
          <w:bottom w:val="single" w:sz="4" w:space="5" w:color="C9CDD2"/>
        </w:pBdr>
        <w:spacing w:before="0" w:after="0" w:line="240" w:lineRule="auto"/>
      </w:pP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19"/>
          <w:u w:val="none"/>
        </w:rPr>
        <w:t xml:space="preserve">Lesson 9-1  ·  Explore Relationships Between Two Variables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Move  </w:t>
      </w:r>
      <w:r>
        <w:rPr>
          <w:rFonts w:ascii="Avenir Next" w:hAnsi="Avenir Next" w:cs="Avenir Next" w:eastAsia="Avenir Next"/>
          <w:b w:val="0"/>
          <w:i w:val="1"/>
          <w:color w:val="5A5F66"/>
          <w:sz w:val="20"/>
          <w:u w:val="none"/>
        </w:rPr>
        <w:t xml:space="preserve">Complete a table of values from a rule</w:t>
      </w:r>
    </w:p>
    <w:p>
      <w:pPr>
        <w:keepNext/>
        <w:spacing w:before="0" w:after="0" w:line="240" w:lineRule="auto"/>
        <w:ind w:left="0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Slide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1) 15   2) 8, 9, 10   3) $14   4) hours worked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Model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2   4   6</w:t>
      </w:r>
    </w:p>
    <w:tbl>
      <w:tblPr>
        <w:tblW w:w="9504" w:type="dxa"/>
        <w:tblBorders>
          <w:top w:val="nil"/>
          <w:left w:val="nil"/>
          <w:bottom w:val="nil"/>
          <w:right w:val="nil"/>
          <w:insideH w:val="single" w:sz="4" w:space="0" w:color="C9CDD2"/>
          <w:insideV w:val="nil"/>
        </w:tblBorders>
        <w:tblLayout w:type="fixed"/>
        <w:tblCellMar>
          <w:top w:w="40" w:type="dxa"/>
          <w:left w:w="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1.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5, 10, 15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5.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60, 150, 240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2.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8, 12, 20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6.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3, 9, 13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3.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6, 9, 15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7.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7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4.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40, 70, 120</w:t>
            </w:r>
          </w:p>
        </w:tc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8.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y = 2x; $12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7"/>
          <w:u w:val="none"/>
        </w:rPr>
        <w:t xml:space="preserve">Dropped  </w:t>
      </w:r>
      <w:r>
        <w:rPr>
          <w:rFonts w:ascii="Avenir Next" w:hAnsi="Avenir Next" w:cs="Avenir Next" w:eastAsia="Avenir Next"/>
          <w:b w:val="0"/>
          <w:i w:val="1"/>
          <w:color w:val="5A5F66"/>
          <w:sz w:val="17"/>
          <w:u w:val="none"/>
        </w:rPr>
        <w:t xml:space="preserve">skill 4 — naming the chosen quantity and the one that responds is Session 1 of this lesson, not a skill it assumes; it stays on the slide as a diagnostic box but is not rehearsed on the worksheet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19"/>
          <w:u w:val="none"/>
        </w:rPr>
        <w:t xml:space="preserve">Lesson 9-2  ·  Analyze Graphs of Relationships Between Two Variables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Move  </w:t>
      </w:r>
      <w:r>
        <w:rPr>
          <w:rFonts w:ascii="Avenir Next" w:hAnsi="Avenir Next" w:cs="Avenir Next" w:eastAsia="Avenir Next"/>
          <w:b w:val="0"/>
          <w:i w:val="1"/>
          <w:color w:val="5A5F66"/>
          <w:sz w:val="20"/>
          <w:u w:val="none"/>
        </w:rPr>
        <w:t xml:space="preserve">Read what one step on an axis is worth / Name the point as an ordered pair</w:t>
      </w:r>
    </w:p>
    <w:p>
      <w:pPr>
        <w:keepNext/>
        <w:spacing w:before="0" w:after="0" w:line="240" w:lineRule="auto"/>
        <w:ind w:left="0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Slide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1) (3, 8)   2) (5, 2)   3) 10   4) (4, 16)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Model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10   12   10</w:t>
      </w:r>
    </w:p>
    <w:tbl>
      <w:tblPr>
        <w:tblW w:w="9504" w:type="dxa"/>
        <w:tblBorders>
          <w:top w:val="nil"/>
          <w:left w:val="nil"/>
          <w:bottom w:val="nil"/>
          <w:right w:val="nil"/>
          <w:insideH w:val="single" w:sz="4" w:space="0" w:color="C9CDD2"/>
          <w:insideV w:val="nil"/>
        </w:tblBorders>
        <w:tblLayout w:type="fixed"/>
        <w:tblCellMar>
          <w:top w:w="40" w:type="dxa"/>
          <w:left w:w="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1.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(8, 6)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5.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(1, 4), (2, 8), (3, 12)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2.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(15, 40)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6.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(4, 20)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3.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25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7.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(10, 30)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4.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(6, 0)</w:t>
            </w:r>
          </w:p>
        </w:tc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8.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x; (4, 12)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19"/>
          <w:u w:val="none"/>
        </w:rPr>
        <w:t xml:space="preserve">Lesson 9-3  ·  Write Equations to Represent Relationships Between Two Variables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Move  </w:t>
      </w:r>
      <w:r>
        <w:rPr>
          <w:rFonts w:ascii="Avenir Next" w:hAnsi="Avenir Next" w:cs="Avenir Next" w:eastAsia="Avenir Next"/>
          <w:b w:val="0"/>
          <w:i w:val="1"/>
          <w:color w:val="5A5F66"/>
          <w:sz w:val="20"/>
          <w:u w:val="none"/>
        </w:rPr>
        <w:t xml:space="preserve">Find the factor from a table, then write y = (factor)x</w:t>
      </w:r>
    </w:p>
    <w:p>
      <w:pPr>
        <w:keepNext/>
        <w:spacing w:before="0" w:after="0" w:line="240" w:lineRule="auto"/>
        <w:ind w:left="0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Slide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1) $4   2) 5   3) 5n   4) yes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Model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3   3   3</w:t>
      </w:r>
    </w:p>
    <w:tbl>
      <w:tblPr>
        <w:tblW w:w="9504" w:type="dxa"/>
        <w:tblBorders>
          <w:top w:val="nil"/>
          <w:left w:val="nil"/>
          <w:bottom w:val="nil"/>
          <w:right w:val="nil"/>
          <w:insideH w:val="single" w:sz="4" w:space="0" w:color="C9CDD2"/>
          <w:insideV w:val="nil"/>
        </w:tblBorders>
        <w:tblLayout w:type="fixed"/>
        <w:tblCellMar>
          <w:top w:w="40" w:type="dxa"/>
          <w:left w:w="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1.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5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5.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1/2 x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2.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7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6.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6x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3.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4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7.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7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4.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10</w:t>
            </w:r>
          </w:p>
        </w:tc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8.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yes; 5x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19"/>
          <w:u w:val="none"/>
        </w:rPr>
        <w:t xml:space="preserve">Lesson 9-4  ·  Apply Two-Variable Relationships to Solve Problems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Move  </w:t>
      </w:r>
      <w:r>
        <w:rPr>
          <w:rFonts w:ascii="Avenir Next" w:hAnsi="Avenir Next" w:cs="Avenir Next" w:eastAsia="Avenir Next"/>
          <w:b w:val="0"/>
          <w:i w:val="1"/>
          <w:color w:val="5A5F66"/>
          <w:sz w:val="20"/>
          <w:u w:val="none"/>
        </w:rPr>
        <w:t xml:space="preserve">Use y = (rate)x in both directions</w:t>
      </w:r>
    </w:p>
    <w:p>
      <w:pPr>
        <w:keepNext/>
        <w:spacing w:before="0" w:after="0" w:line="240" w:lineRule="auto"/>
        <w:ind w:left="0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Slide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1) 24   2) 9   3) 9   4) $24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Model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21   8   8</w:t>
      </w:r>
    </w:p>
    <w:tbl>
      <w:tblPr>
        <w:tblW w:w="9504" w:type="dxa"/>
        <w:tblBorders>
          <w:top w:val="nil"/>
          <w:left w:val="nil"/>
          <w:bottom w:val="nil"/>
          <w:right w:val="nil"/>
          <w:insideH w:val="single" w:sz="4" w:space="0" w:color="C9CDD2"/>
          <w:insideV w:val="nil"/>
        </w:tblBorders>
        <w:tblLayout w:type="fixed"/>
        <w:tblCellMar>
          <w:top w:w="40" w:type="dxa"/>
          <w:left w:w="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1.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27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5.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$9.00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2.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12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6.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8 apples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3.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60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7.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6 tickets; $2 left over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4.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9</w:t>
            </w:r>
          </w:p>
        </w:tc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8.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y = 2x; 15 beads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7"/>
          <w:u w:val="none"/>
        </w:rPr>
        <w:t xml:space="preserve">Dropped  </w:t>
      </w:r>
      <w:r>
        <w:rPr>
          <w:rFonts w:ascii="Avenir Next" w:hAnsi="Avenir Next" w:cs="Avenir Next" w:eastAsia="Avenir Next"/>
          <w:b w:val="0"/>
          <w:i w:val="1"/>
          <w:color w:val="5A5F66"/>
          <w:sz w:val="17"/>
          <w:u w:val="none"/>
        </w:rPr>
        <w:t xml:space="preserve">skill 4 — saying the answer in the situation’s units is a labeling habit, not a separate move; every context item here asks for the units in the answer instead of rehearsing it on its own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  <w:t xml:space="preserve"/>
    </w:r>
  </w:p>
  <w:tbl>
    <w:tblPr>
      <w:tblW w:w="9504" w:type="dxa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4752"/>
      <w:gridCol w:w="4752"/>
    </w:tblGrid>
    <w:tr>
      <w:tc>
        <w:tcPr>
          <w:tcW w:w="5892" w:type="dxa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Grade 6 Mathematics  ·  Unit 9: Two-variable Relationships</w:t>
          </w:r>
        </w:p>
      </w:tc>
      <w:tc>
        <w:tcPr>
          <w:tcW w:w="3612" w:type="dxa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Page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PAGE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 of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 w:eastAsia="en-US" w:bidi="ar-SA"/>
        <w:rFonts w:ascii="Avenir Next" w:hAnsi="Avenir Next" w:cs="Avenir Next" w:eastAsia="Avenir Next"/>
        <w:sz w:val="21"/>
        <w:szCs w:val="21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sz w:val="21"/>
      <w:rFonts w:ascii="Avenir Next" w:hAnsi="Avenir Next" w:cs="Avenir Next" w:eastAsia="Avenir Nex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Unit 9 Warm-Up Key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