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Lesson 2.4 Teaching Support Guide</w:t>
      </w:r>
    </w:p>
    <w:p>
      <w:pPr>
        <w:pStyle w:val="Heading2"/>
        <w:keepNext/>
        <w:spacing w:after="120" w:line="259" w:lineRule="auto"/>
      </w:pPr>
      <w:r>
        <w:rPr>
          <w:rFonts w:ascii="Arial" w:hAnsi="Arial"/>
          <w:b/>
          <w:color w:val="202B33"/>
          <w:sz w:val="25"/>
        </w:rPr>
        <w:t>Teach-tomorrow route</w:t>
      </w:r>
    </w:p>
    <w:p>
      <w:pPr>
        <w:spacing w:after="120" w:line="259" w:lineRule="auto"/>
      </w:pPr>
      <w:r>
        <w:rPr>
          <w:rFonts w:ascii="Arial" w:hAnsi="Arial"/>
          <w:b w:val="0"/>
          <w:color w:val="202B33"/>
          <w:sz w:val="23"/>
        </w:rPr>
        <w:t>Print: current Guided Notes and Practice A for the class; Exit Tickets; optional Language Support and supported homework. Keep this guide and answer keys teacher-facing. Use the full-size model pages in the updated notes.</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1440"/>
          </w:tcPr>
          <w:p>
            <w:pPr>
              <w:spacing w:after="80" w:line="245" w:lineRule="auto"/>
            </w:pPr>
            <w:r>
              <w:rPr>
                <w:rFonts w:ascii="Arial" w:hAnsi="Arial"/>
                <w:b/>
                <w:color w:val="003A70"/>
                <w:sz w:val="21"/>
              </w:rPr>
              <w:t>Phase</w:t>
            </w:r>
          </w:p>
        </w:tc>
        <w:tc>
          <w:tcPr>
            <w:tcW w:type="dxa" w:w="1152"/>
          </w:tcPr>
          <w:p>
            <w:pPr>
              <w:spacing w:after="80" w:line="245" w:lineRule="auto"/>
            </w:pPr>
            <w:r>
              <w:rPr>
                <w:rFonts w:ascii="Arial" w:hAnsi="Arial"/>
                <w:b/>
                <w:color w:val="003A70"/>
                <w:sz w:val="21"/>
              </w:rPr>
              <w:t>Planned minutes</w:t>
            </w:r>
          </w:p>
        </w:tc>
        <w:tc>
          <w:tcPr>
            <w:tcW w:type="dxa" w:w="7344"/>
          </w:tcPr>
          <w:p>
            <w:pPr>
              <w:spacing w:after="80" w:line="245" w:lineRule="auto"/>
            </w:pPr>
            <w:r>
              <w:rPr>
                <w:rFonts w:ascii="Arial" w:hAnsi="Arial"/>
                <w:b/>
                <w:color w:val="003A70"/>
                <w:sz w:val="21"/>
              </w:rPr>
              <w:t>Teaching move</w:t>
            </w:r>
          </w:p>
        </w:tc>
      </w:tr>
      <w:tr>
        <w:trPr>
          <w:cantSplit/>
        </w:trPr>
        <w:tc>
          <w:tcPr>
            <w:tcW w:type="dxa" w:w="1440"/>
          </w:tcPr>
          <w:p>
            <w:pPr>
              <w:spacing w:after="80" w:line="245" w:lineRule="auto"/>
            </w:pPr>
            <w:r>
              <w:rPr>
                <w:rFonts w:ascii="Arial" w:hAnsi="Arial"/>
                <w:b w:val="0"/>
                <w:color w:val="202B33"/>
                <w:sz w:val="21"/>
              </w:rPr>
              <w:t>Retrieve</w:t>
            </w:r>
          </w:p>
        </w:tc>
        <w:tc>
          <w:tcPr>
            <w:tcW w:type="dxa" w:w="1152"/>
          </w:tcPr>
          <w:p>
            <w:pPr>
              <w:spacing w:after="80" w:line="245" w:lineRule="auto"/>
            </w:pPr>
            <w:r>
              <w:rPr>
                <w:rFonts w:ascii="Arial" w:hAnsi="Arial"/>
                <w:b w:val="0"/>
                <w:color w:val="202B33"/>
                <w:sz w:val="21"/>
              </w:rPr>
              <w:t>5</w:t>
            </w:r>
          </w:p>
        </w:tc>
        <w:tc>
          <w:tcPr>
            <w:tcW w:type="dxa" w:w="7344"/>
          </w:tcPr>
          <w:p>
            <w:pPr>
              <w:spacing w:after="80" w:line="245" w:lineRule="auto"/>
            </w:pPr>
            <w:r>
              <w:rPr>
                <w:rFonts w:ascii="Arial" w:hAnsi="Arial"/>
                <w:b w:val="0"/>
                <w:color w:val="202B33"/>
                <w:sz w:val="21"/>
              </w:rPr>
              <w:t>Warm-Up items 1–4; note the missing prerequisite before launch.</w:t>
            </w:r>
          </w:p>
        </w:tc>
      </w:tr>
      <w:tr>
        <w:trPr>
          <w:cantSplit/>
        </w:trPr>
        <w:tc>
          <w:tcPr>
            <w:tcW w:type="dxa" w:w="1440"/>
          </w:tcPr>
          <w:p>
            <w:pPr>
              <w:spacing w:after="80" w:line="245" w:lineRule="auto"/>
            </w:pPr>
            <w:r>
              <w:rPr>
                <w:rFonts w:ascii="Arial" w:hAnsi="Arial"/>
                <w:b w:val="0"/>
                <w:color w:val="202B33"/>
                <w:sz w:val="21"/>
              </w:rPr>
              <w:t>Launch</w:t>
            </w:r>
          </w:p>
        </w:tc>
        <w:tc>
          <w:tcPr>
            <w:tcW w:type="dxa" w:w="1152"/>
          </w:tcPr>
          <w:p>
            <w:pPr>
              <w:spacing w:after="80" w:line="245" w:lineRule="auto"/>
            </w:pPr>
            <w:r>
              <w:rPr>
                <w:rFonts w:ascii="Arial" w:hAnsi="Arial"/>
                <w:b w:val="0"/>
                <w:color w:val="202B33"/>
                <w:sz w:val="21"/>
              </w:rPr>
              <w:t>7</w:t>
            </w:r>
          </w:p>
        </w:tc>
        <w:tc>
          <w:tcPr>
            <w:tcW w:type="dxa" w:w="7344"/>
          </w:tcPr>
          <w:p>
            <w:pPr>
              <w:spacing w:after="80" w:line="245" w:lineRule="auto"/>
            </w:pPr>
            <w:r>
              <w:rPr>
                <w:rFonts w:ascii="Arial" w:hAnsi="Arial"/>
                <w:b w:val="0"/>
                <w:color w:val="202B33"/>
                <w:sz w:val="21"/>
              </w:rPr>
              <w:t>Name the session target and invite a prediction from the conceptual task.</w:t>
            </w:r>
          </w:p>
        </w:tc>
      </w:tr>
      <w:tr>
        <w:trPr>
          <w:cantSplit/>
        </w:trPr>
        <w:tc>
          <w:tcPr>
            <w:tcW w:type="dxa" w:w="1440"/>
          </w:tcPr>
          <w:p>
            <w:pPr>
              <w:spacing w:after="80" w:line="245" w:lineRule="auto"/>
            </w:pPr>
            <w:r>
              <w:rPr>
                <w:rFonts w:ascii="Arial" w:hAnsi="Arial"/>
                <w:b w:val="0"/>
                <w:color w:val="202B33"/>
                <w:sz w:val="21"/>
              </w:rPr>
              <w:t>Model</w:t>
            </w:r>
          </w:p>
        </w:tc>
        <w:tc>
          <w:tcPr>
            <w:tcW w:type="dxa" w:w="1152"/>
          </w:tcPr>
          <w:p>
            <w:pPr>
              <w:spacing w:after="80" w:line="245" w:lineRule="auto"/>
            </w:pPr>
            <w:r>
              <w:rPr>
                <w:rFonts w:ascii="Arial" w:hAnsi="Arial"/>
                <w:b w:val="0"/>
                <w:color w:val="202B33"/>
                <w:sz w:val="21"/>
              </w:rPr>
              <w:t>10</w:t>
            </w:r>
          </w:p>
        </w:tc>
        <w:tc>
          <w:tcPr>
            <w:tcW w:type="dxa" w:w="7344"/>
          </w:tcPr>
          <w:p>
            <w:pPr>
              <w:spacing w:after="80" w:line="245" w:lineRule="auto"/>
            </w:pPr>
            <w:r>
              <w:rPr>
                <w:rFonts w:ascii="Arial" w:hAnsi="Arial"/>
                <w:b w:val="0"/>
                <w:color w:val="202B33"/>
                <w:sz w:val="21"/>
              </w:rPr>
              <w:t>Link a visual model to the worked example; rehearse the mathematical explanation.</w:t>
            </w:r>
          </w:p>
        </w:tc>
      </w:tr>
      <w:tr>
        <w:trPr>
          <w:cantSplit/>
        </w:trPr>
        <w:tc>
          <w:tcPr>
            <w:tcW w:type="dxa" w:w="1440"/>
          </w:tcPr>
          <w:p>
            <w:pPr>
              <w:spacing w:after="80" w:line="245" w:lineRule="auto"/>
            </w:pPr>
            <w:r>
              <w:rPr>
                <w:rFonts w:ascii="Arial" w:hAnsi="Arial"/>
                <w:b w:val="0"/>
                <w:color w:val="202B33"/>
                <w:sz w:val="21"/>
              </w:rPr>
              <w:t>Practice</w:t>
            </w:r>
          </w:p>
        </w:tc>
        <w:tc>
          <w:tcPr>
            <w:tcW w:type="dxa" w:w="1152"/>
          </w:tcPr>
          <w:p>
            <w:pPr>
              <w:spacing w:after="80" w:line="245" w:lineRule="auto"/>
            </w:pPr>
            <w:r>
              <w:rPr>
                <w:rFonts w:ascii="Arial" w:hAnsi="Arial"/>
                <w:b w:val="0"/>
                <w:color w:val="202B33"/>
                <w:sz w:val="21"/>
              </w:rPr>
              <w:t>18</w:t>
            </w:r>
          </w:p>
        </w:tc>
        <w:tc>
          <w:tcPr>
            <w:tcW w:type="dxa" w:w="7344"/>
          </w:tcPr>
          <w:p>
            <w:pPr>
              <w:spacing w:after="80" w:line="245" w:lineRule="auto"/>
            </w:pPr>
            <w:r>
              <w:rPr>
                <w:rFonts w:ascii="Arial" w:hAnsi="Arial"/>
                <w:b w:val="0"/>
                <w:color w:val="202B33"/>
                <w:sz w:val="21"/>
              </w:rPr>
              <w:t>Core: A #1, #2, #4, #6 and the error task. Choose remaining items from evidence.</w:t>
            </w:r>
          </w:p>
        </w:tc>
      </w:tr>
      <w:tr>
        <w:trPr>
          <w:cantSplit/>
        </w:trPr>
        <w:tc>
          <w:tcPr>
            <w:tcW w:type="dxa" w:w="1440"/>
          </w:tcPr>
          <w:p>
            <w:pPr>
              <w:spacing w:after="80" w:line="245" w:lineRule="auto"/>
            </w:pPr>
            <w:r>
              <w:rPr>
                <w:rFonts w:ascii="Arial" w:hAnsi="Arial"/>
                <w:b w:val="0"/>
                <w:color w:val="202B33"/>
                <w:sz w:val="21"/>
              </w:rPr>
              <w:t>Check</w:t>
            </w:r>
          </w:p>
        </w:tc>
        <w:tc>
          <w:tcPr>
            <w:tcW w:type="dxa" w:w="1152"/>
          </w:tcPr>
          <w:p>
            <w:pPr>
              <w:spacing w:after="80" w:line="245" w:lineRule="auto"/>
            </w:pPr>
            <w:r>
              <w:rPr>
                <w:rFonts w:ascii="Arial" w:hAnsi="Arial"/>
                <w:b w:val="0"/>
                <w:color w:val="202B33"/>
                <w:sz w:val="21"/>
              </w:rPr>
              <w:t>5</w:t>
            </w:r>
          </w:p>
        </w:tc>
        <w:tc>
          <w:tcPr>
            <w:tcW w:type="dxa" w:w="7344"/>
          </w:tcPr>
          <w:p>
            <w:pPr>
              <w:spacing w:after="80" w:line="245" w:lineRule="auto"/>
            </w:pPr>
            <w:r>
              <w:rPr>
                <w:rFonts w:ascii="Arial" w:hAnsi="Arial"/>
                <w:b w:val="0"/>
                <w:color w:val="202B33"/>
                <w:sz w:val="21"/>
              </w:rPr>
              <w:t>Exit Ticket; use the diagnostic page before assigning reteaching.</w:t>
            </w:r>
          </w:p>
        </w:tc>
      </w:tr>
    </w:tbl>
    <w:p>
      <w:pPr>
        <w:spacing w:after="120" w:line="259" w:lineRule="auto"/>
      </w:pPr>
      <w:r>
        <w:rPr>
          <w:rFonts w:ascii="Arial" w:hAnsi="Arial"/>
          <w:b w:val="0"/>
          <w:color w:val="202B33"/>
          <w:sz w:val="23"/>
        </w:rPr>
        <w:t>This is a planned 45-minute route, not a measured classroom duration. For a shorter lesson, keep the model and exit; reduce repeated practice. Form B is parallel practice or reassessment only when its items are unseen.</w:t>
      </w:r>
    </w:p>
    <w:p>
      <w:pPr>
        <w:spacing w:after="120" w:line="259" w:lineRule="auto"/>
      </w:pPr>
      <w:r>
        <w:rPr>
          <w:rFonts w:ascii="Arial" w:hAnsi="Arial"/>
          <w:b w:val="0"/>
          <w:color w:val="202B33"/>
          <w:sz w:val="23"/>
        </w:rPr>
        <w:t>S1: Building a Box Plot · I can find the five-number summary of a data set and use it to build a box plot.</w:t>
      </w:r>
    </w:p>
    <w:p>
      <w:pPr>
        <w:spacing w:after="120" w:line="259" w:lineRule="auto"/>
      </w:pPr>
      <w:r>
        <w:rPr>
          <w:rFonts w:ascii="Arial" w:hAnsi="Arial"/>
          <w:b w:val="0"/>
          <w:color w:val="202B33"/>
          <w:sz w:val="23"/>
        </w:rPr>
        <w:t>S2: Comparing Box Plots · I can compare two groups by reading the medians and box widths of their box plots.</w:t>
      </w:r>
    </w:p>
    <w:p>
      <w:pPr>
        <w:spacing w:after="120" w:line="259" w:lineRule="auto"/>
      </w:pPr>
      <w:r>
        <w:rPr>
          <w:rFonts w:ascii="Arial" w:hAnsi="Arial"/>
          <w:b w:val="0"/>
          <w:color w:val="202B33"/>
          <w:sz w:val="23"/>
        </w:rPr>
        <w:t>Spaced retrieval: revisit one item after 2 lessons and after approximately 1 week. Mix it with the next unit’s prerequisite check; do not announce the operation before students choose a method.</w:t>
      </w:r>
    </w:p>
    <w:p>
      <w:r>
        <w:br w:type="page"/>
      </w:r>
    </w:p>
    <w:p>
      <w:pPr>
        <w:pStyle w:val="Heading1"/>
        <w:keepNext/>
        <w:spacing w:after="120" w:line="259" w:lineRule="auto"/>
      </w:pPr>
      <w:r>
        <w:rPr>
          <w:rFonts w:ascii="Arial" w:hAnsi="Arial"/>
          <w:b/>
          <w:color w:val="202B33"/>
          <w:sz w:val="36"/>
        </w:rPr>
        <w:t>Session 1 · Building a Box Plot</w:t>
      </w:r>
    </w:p>
    <w:p>
      <w:pPr>
        <w:spacing w:after="120" w:line="259" w:lineRule="auto"/>
      </w:pPr>
      <w:r>
        <w:rPr>
          <w:rFonts w:ascii="Arial" w:hAnsi="Arial"/>
          <w:b w:val="0"/>
          <w:color w:val="202B33"/>
          <w:sz w:val="23"/>
        </w:rPr>
        <w:t>I can find the five-number summary of a data set and use it to build a box plot. · 6.SP.B.4</w:t>
      </w:r>
    </w:p>
    <w:p>
      <w:pPr>
        <w:pStyle w:val="Heading2"/>
        <w:keepNext/>
        <w:spacing w:after="120" w:line="259" w:lineRule="auto"/>
      </w:pPr>
      <w:r>
        <w:rPr>
          <w:rFonts w:ascii="Arial" w:hAnsi="Arial"/>
          <w:b/>
          <w:color w:val="202B33"/>
          <w:sz w:val="25"/>
        </w:rPr>
        <w:t>Observe and respond</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Exit item</w:t>
            </w:r>
          </w:p>
        </w:tc>
        <w:tc>
          <w:tcPr>
            <w:tcW w:type="dxa" w:w="4032"/>
          </w:tcPr>
          <w:p>
            <w:pPr>
              <w:spacing w:after="80" w:line="245" w:lineRule="auto"/>
            </w:pPr>
            <w:r>
              <w:rPr>
                <w:rFonts w:ascii="Arial" w:hAnsi="Arial"/>
                <w:b/>
                <w:color w:val="003A70"/>
                <w:sz w:val="21"/>
              </w:rPr>
              <w:t>Expected evidence</w:t>
            </w:r>
          </w:p>
        </w:tc>
        <w:tc>
          <w:tcPr>
            <w:tcW w:type="dxa" w:w="5184"/>
          </w:tcPr>
          <w:p>
            <w:pPr>
              <w:spacing w:after="80" w:line="245" w:lineRule="auto"/>
            </w:pPr>
            <w:r>
              <w:rPr>
                <w:rFonts w:ascii="Arial" w:hAnsi="Arial"/>
                <w:b/>
                <w:color w:val="003A70"/>
                <w:sz w:val="21"/>
              </w:rPr>
              <w:t>Next prompt/model</w:t>
            </w:r>
          </w:p>
        </w:tc>
      </w:tr>
      <w:tr>
        <w:trPr>
          <w:cantSplit/>
        </w:trPr>
        <w:tc>
          <w:tcPr>
            <w:tcW w:type="dxa" w:w="720"/>
          </w:tcPr>
          <w:p>
            <w:pPr>
              <w:spacing w:after="80" w:line="245" w:lineRule="auto"/>
            </w:pPr>
            <w:r>
              <w:rPr>
                <w:rFonts w:ascii="Arial" w:hAnsi="Arial"/>
                <w:b w:val="0"/>
                <w:color w:val="202B33"/>
                <w:sz w:val="21"/>
              </w:rPr>
              <w:t>1</w:t>
            </w:r>
          </w:p>
        </w:tc>
        <w:tc>
          <w:tcPr>
            <w:tcW w:type="dxa" w:w="4032"/>
          </w:tcPr>
          <w:p>
            <w:pPr>
              <w:spacing w:after="80" w:line="245" w:lineRule="auto"/>
            </w:pPr>
            <w:r>
              <w:rPr>
                <w:rFonts w:ascii="Arial" w:hAnsi="Arial"/>
                <w:b w:val="0"/>
                <w:color w:val="202B33"/>
                <w:sz w:val="21"/>
              </w:rPr>
              <w:t>Order: 2, 4, 6, 7, 9, 11, 13. a. 4  b. 7  c. 11</w:t>
            </w:r>
          </w:p>
        </w:tc>
        <w:tc>
          <w:tcPr>
            <w:tcW w:type="dxa" w:w="5184"/>
          </w:tcPr>
          <w:p>
            <w:pPr>
              <w:spacing w:after="80" w:line="245" w:lineRule="auto"/>
            </w:pPr>
            <w:r>
              <w:rPr>
                <w:rFonts w:ascii="Arial" w:hAnsi="Arial"/>
                <w:b w:val="0"/>
                <w:color w:val="202B33"/>
                <w:sz w:val="21"/>
              </w:rPr>
              <w:t>Circle the overall median and set it aside while finding the medians of the two remaining halves.</w:t>
            </w:r>
          </w:p>
        </w:tc>
      </w:tr>
      <w:tr>
        <w:trPr>
          <w:cantSplit/>
        </w:trPr>
        <w:tc>
          <w:tcPr>
            <w:tcW w:type="dxa" w:w="720"/>
          </w:tcPr>
          <w:p>
            <w:pPr>
              <w:spacing w:after="80" w:line="245" w:lineRule="auto"/>
            </w:pPr>
            <w:r>
              <w:rPr>
                <w:rFonts w:ascii="Arial" w:hAnsi="Arial"/>
                <w:b w:val="0"/>
                <w:color w:val="202B33"/>
                <w:sz w:val="21"/>
              </w:rPr>
              <w:t>2</w:t>
            </w:r>
          </w:p>
        </w:tc>
        <w:tc>
          <w:tcPr>
            <w:tcW w:type="dxa" w:w="4032"/>
          </w:tcPr>
          <w:p>
            <w:pPr>
              <w:spacing w:after="80" w:line="245" w:lineRule="auto"/>
            </w:pPr>
            <w:r>
              <w:rPr>
                <w:rFonts w:ascii="Arial" w:hAnsi="Arial"/>
                <w:b w:val="0"/>
                <w:color w:val="202B33"/>
                <w:sz w:val="21"/>
              </w:rPr>
              <w:t>14 − 6 = 8</w:t>
            </w:r>
          </w:p>
        </w:tc>
        <w:tc>
          <w:tcPr>
            <w:tcW w:type="dxa" w:w="5184"/>
          </w:tcPr>
          <w:p>
            <w:pPr>
              <w:spacing w:after="80" w:line="245" w:lineRule="auto"/>
            </w:pPr>
            <w:r>
              <w:rPr>
                <w:rFonts w:ascii="Arial" w:hAnsi="Arial"/>
                <w:b w:val="0"/>
                <w:color w:val="202B33"/>
                <w:sz w:val="21"/>
              </w:rPr>
              <w:t>Circle the overall median and set it aside while finding the medians of the two remaining halves.</w:t>
            </w:r>
          </w:p>
        </w:tc>
      </w:tr>
      <w:tr>
        <w:trPr>
          <w:cantSplit/>
        </w:trPr>
        <w:tc>
          <w:tcPr>
            <w:tcW w:type="dxa" w:w="720"/>
          </w:tcPr>
          <w:p>
            <w:pPr>
              <w:spacing w:after="80" w:line="245" w:lineRule="auto"/>
            </w:pPr>
            <w:r>
              <w:rPr>
                <w:rFonts w:ascii="Arial" w:hAnsi="Arial"/>
                <w:b w:val="0"/>
                <w:color w:val="202B33"/>
                <w:sz w:val="21"/>
              </w:rPr>
              <w:t>3</w:t>
            </w:r>
          </w:p>
        </w:tc>
        <w:tc>
          <w:tcPr>
            <w:tcW w:type="dxa" w:w="4032"/>
          </w:tcPr>
          <w:p>
            <w:pPr>
              <w:spacing w:after="80" w:line="245" w:lineRule="auto"/>
            </w:pPr>
            <w:r>
              <w:rPr>
                <w:rFonts w:ascii="Arial" w:hAnsi="Arial"/>
                <w:b w:val="0"/>
                <w:color w:val="202B33"/>
                <w:sz w:val="21"/>
              </w:rPr>
              <w:t>B — 1/2</w:t>
            </w:r>
          </w:p>
        </w:tc>
        <w:tc>
          <w:tcPr>
            <w:tcW w:type="dxa" w:w="5184"/>
          </w:tcPr>
          <w:p>
            <w:pPr>
              <w:spacing w:after="80" w:line="245" w:lineRule="auto"/>
            </w:pPr>
            <w:r>
              <w:rPr>
                <w:rFonts w:ascii="Arial" w:hAnsi="Arial"/>
                <w:b w:val="0"/>
                <w:color w:val="202B33"/>
                <w:sz w:val="21"/>
              </w:rPr>
              <w:t>Ask the learner to show why B — 1/2 is correct and reject a specific distractor using a model.</w:t>
            </w:r>
          </w:p>
        </w:tc>
      </w:tr>
    </w:tbl>
    <w:p>
      <w:pPr>
        <w:pStyle w:val="Heading2"/>
        <w:keepNext/>
        <w:spacing w:after="120" w:line="259" w:lineRule="auto"/>
      </w:pPr>
      <w:r>
        <w:rPr>
          <w:rFonts w:ascii="Arial" w:hAnsi="Arial"/>
          <w:b/>
          <w:color w:val="202B33"/>
          <w:sz w:val="25"/>
        </w:rPr>
        <w:t>Distinguish the error</w:t>
      </w:r>
    </w:p>
    <w:p>
      <w:pPr>
        <w:spacing w:after="120" w:line="259" w:lineRule="auto"/>
      </w:pPr>
      <w:r>
        <w:rPr>
          <w:rFonts w:ascii="Arial" w:hAnsi="Arial"/>
          <w:b w:val="0"/>
          <w:color w:val="202B33"/>
          <w:sz w:val="23"/>
        </w:rPr>
        <w:t>Conceptual signal: Includes the overall median in the lower and upper halves despite the stated convention..</w:t>
      </w:r>
    </w:p>
    <w:p>
      <w:pPr>
        <w:spacing w:after="120" w:line="259" w:lineRule="auto"/>
      </w:pPr>
      <w:r>
        <w:rPr>
          <w:rFonts w:ascii="Arial" w:hAnsi="Arial"/>
          <w:b w:val="0"/>
          <w:color w:val="202B33"/>
          <w:sz w:val="23"/>
        </w:rPr>
        <w:t>Response: Circle the overall median and set it aside while finding the medians of the two remaining halves.</w:t>
      </w:r>
    </w:p>
    <w:p>
      <w:pPr>
        <w:spacing w:after="120" w:line="259" w:lineRule="auto"/>
      </w:pPr>
      <w:r>
        <w:rPr>
          <w:rFonts w:ascii="Arial" w:hAnsi="Arial"/>
          <w:b w:val="0"/>
          <w:color w:val="202B33"/>
          <w:sz w:val="21"/>
        </w:rPr>
        <w:t>Also check: Using the values next to the median as Q1 and Q3.</w:t>
      </w:r>
    </w:p>
    <w:p>
      <w:pPr>
        <w:spacing w:after="120" w:line="259" w:lineRule="auto"/>
      </w:pPr>
      <w:r>
        <w:rPr>
          <w:rFonts w:ascii="Arial" w:hAnsi="Arial"/>
          <w:b w:val="0"/>
          <w:color w:val="202B33"/>
          <w:sz w:val="21"/>
        </w:rPr>
        <w:t>Also check: Including the median in both halves when the count is odd.</w:t>
      </w:r>
    </w:p>
    <w:p>
      <w:pPr>
        <w:spacing w:after="120" w:line="259" w:lineRule="auto"/>
      </w:pPr>
      <w:r>
        <w:rPr>
          <w:rFonts w:ascii="Arial" w:hAnsi="Arial"/>
          <w:b w:val="0"/>
          <w:color w:val="202B33"/>
          <w:sz w:val="23"/>
        </w:rPr>
        <w:t>If calculation alone is wrong, use Session 1 Prerequisite Practice A for the matching skill, then return to the model. If the interpretation is wrong, label the quantities before reteaching the operation. Independent re-entry requires a correct setup and a connected explanation.</w:t>
      </w:r>
    </w:p>
    <w:p>
      <w:r>
        <w:br w:type="page"/>
      </w:r>
    </w:p>
    <w:p>
      <w:pPr>
        <w:pStyle w:val="Heading1"/>
        <w:keepNext/>
        <w:spacing w:after="120" w:line="259" w:lineRule="auto"/>
      </w:pPr>
      <w:r>
        <w:rPr>
          <w:rFonts w:ascii="Arial" w:hAnsi="Arial"/>
          <w:b/>
          <w:color w:val="202B33"/>
          <w:sz w:val="36"/>
        </w:rPr>
        <w:t>Session 1 · Fresh check and scoring</w:t>
      </w:r>
    </w:p>
    <w:p>
      <w:pPr>
        <w:spacing w:after="120" w:line="259" w:lineRule="auto"/>
      </w:pPr>
      <w:r>
        <w:rPr>
          <w:rFonts w:ascii="Arial" w:hAnsi="Arial"/>
          <w:b w:val="0"/>
          <w:color w:val="202B33"/>
          <w:sz w:val="23"/>
        </w:rPr>
        <w:t>Reserve this check until after revision; it is distinct from the exit ticket. Do not show this teacher page to learners beforehand.</w:t>
      </w:r>
    </w:p>
    <w:p>
      <w:pPr>
        <w:spacing w:after="120" w:line="259" w:lineRule="auto"/>
      </w:pPr>
      <w:r>
        <w:rPr>
          <w:rFonts w:ascii="Arial" w:hAnsi="Arial"/>
          <w:b w:val="0"/>
          <w:color w:val="202B33"/>
          <w:sz w:val="23"/>
        </w:rPr>
        <w:t>Find the five-number summary for 1, 3, 5, 7, 9, 11, 15 using the stated convention.</w:t>
      </w:r>
    </w:p>
    <w:p>
      <w:pPr>
        <w:spacing w:after="120" w:line="259" w:lineRule="auto"/>
      </w:pPr>
      <w:r>
        <w:rPr>
          <w:rFonts w:ascii="Arial" w:hAnsi="Arial"/>
          <w:b w:val="0"/>
          <w:color w:val="202B33"/>
          <w:sz w:val="23"/>
        </w:rPr>
        <w:t>Teacher solution: 1, 3, 7, 11, 15.</w:t>
      </w:r>
    </w:p>
    <w:p>
      <w:pPr>
        <w:pStyle w:val="Heading2"/>
        <w:keepNext/>
        <w:spacing w:after="120" w:line="259" w:lineRule="auto"/>
      </w:pPr>
      <w:r>
        <w:rPr>
          <w:rFonts w:ascii="Arial" w:hAnsi="Arial"/>
          <w:b/>
          <w:color w:val="202B33"/>
          <w:sz w:val="25"/>
        </w:rPr>
        <w:t>Score the evidence</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Score</w:t>
            </w:r>
          </w:p>
        </w:tc>
        <w:tc>
          <w:tcPr>
            <w:tcW w:type="dxa" w:w="4608"/>
          </w:tcPr>
          <w:p>
            <w:pPr>
              <w:spacing w:after="80" w:line="245" w:lineRule="auto"/>
            </w:pPr>
            <w:r>
              <w:rPr>
                <w:rFonts w:ascii="Arial" w:hAnsi="Arial"/>
                <w:b/>
                <w:color w:val="003A70"/>
                <w:sz w:val="21"/>
              </w:rPr>
              <w:t>Evidence</w:t>
            </w:r>
          </w:p>
        </w:tc>
        <w:tc>
          <w:tcPr>
            <w:tcW w:type="dxa" w:w="4608"/>
          </w:tcPr>
          <w:p>
            <w:pPr>
              <w:spacing w:after="80" w:line="245" w:lineRule="auto"/>
            </w:pPr>
            <w:r>
              <w:rPr>
                <w:rFonts w:ascii="Arial" w:hAnsi="Arial"/>
                <w:b/>
                <w:color w:val="003A70"/>
                <w:sz w:val="21"/>
              </w:rPr>
              <w:t>Next action</w:t>
            </w:r>
          </w:p>
        </w:tc>
      </w:tr>
      <w:tr>
        <w:trPr>
          <w:cantSplit/>
        </w:trPr>
        <w:tc>
          <w:tcPr>
            <w:tcW w:type="dxa" w:w="720"/>
          </w:tcPr>
          <w:p>
            <w:pPr>
              <w:spacing w:after="80" w:line="245" w:lineRule="auto"/>
            </w:pPr>
            <w:r>
              <w:rPr>
                <w:rFonts w:ascii="Arial" w:hAnsi="Arial"/>
                <w:b w:val="0"/>
                <w:color w:val="202B33"/>
                <w:sz w:val="21"/>
              </w:rPr>
              <w:t>3</w:t>
            </w:r>
          </w:p>
        </w:tc>
        <w:tc>
          <w:tcPr>
            <w:tcW w:type="dxa" w:w="4608"/>
          </w:tcPr>
          <w:p>
            <w:pPr>
              <w:spacing w:after="80" w:line="245" w:lineRule="auto"/>
            </w:pPr>
            <w:r>
              <w:rPr>
                <w:rFonts w:ascii="Arial" w:hAnsi="Arial"/>
                <w:b w:val="0"/>
                <w:color w:val="202B33"/>
                <w:sz w:val="21"/>
              </w:rPr>
              <w:t>Valid representation, correct result/units, connected explanation.</w:t>
            </w:r>
          </w:p>
        </w:tc>
        <w:tc>
          <w:tcPr>
            <w:tcW w:type="dxa" w:w="4608"/>
          </w:tcPr>
          <w:p>
            <w:pPr>
              <w:spacing w:after="80" w:line="245" w:lineRule="auto"/>
            </w:pPr>
            <w:r>
              <w:rPr>
                <w:rFonts w:ascii="Arial" w:hAnsi="Arial"/>
                <w:b w:val="0"/>
                <w:color w:val="202B33"/>
                <w:sz w:val="21"/>
              </w:rPr>
              <w:t>Continue; fade a support next time.</w:t>
            </w:r>
          </w:p>
        </w:tc>
      </w:tr>
      <w:tr>
        <w:trPr>
          <w:cantSplit/>
        </w:trPr>
        <w:tc>
          <w:tcPr>
            <w:tcW w:type="dxa" w:w="720"/>
          </w:tcPr>
          <w:p>
            <w:pPr>
              <w:spacing w:after="80" w:line="245" w:lineRule="auto"/>
            </w:pPr>
            <w:r>
              <w:rPr>
                <w:rFonts w:ascii="Arial" w:hAnsi="Arial"/>
                <w:b w:val="0"/>
                <w:color w:val="202B33"/>
                <w:sz w:val="21"/>
              </w:rPr>
              <w:t>2</w:t>
            </w:r>
          </w:p>
        </w:tc>
        <w:tc>
          <w:tcPr>
            <w:tcW w:type="dxa" w:w="4608"/>
          </w:tcPr>
          <w:p>
            <w:pPr>
              <w:spacing w:after="80" w:line="245" w:lineRule="auto"/>
            </w:pPr>
            <w:r>
              <w:rPr>
                <w:rFonts w:ascii="Arial" w:hAnsi="Arial"/>
                <w:b w:val="0"/>
                <w:color w:val="202B33"/>
                <w:sz w:val="21"/>
              </w:rPr>
              <w:t>Correct setup and meaning with a calculation/notation slip, or an incomplete explanation.</w:t>
            </w:r>
          </w:p>
        </w:tc>
        <w:tc>
          <w:tcPr>
            <w:tcW w:type="dxa" w:w="4608"/>
          </w:tcPr>
          <w:p>
            <w:pPr>
              <w:spacing w:after="80" w:line="245" w:lineRule="auto"/>
            </w:pPr>
            <w:r>
              <w:rPr>
                <w:rFonts w:ascii="Arial" w:hAnsi="Arial"/>
                <w:b w:val="0"/>
                <w:color w:val="202B33"/>
                <w:sz w:val="21"/>
              </w:rPr>
              <w:t>Brief targeted feedback, then another unseen check.</w:t>
            </w:r>
          </w:p>
        </w:tc>
      </w:tr>
      <w:tr>
        <w:trPr>
          <w:cantSplit/>
        </w:trPr>
        <w:tc>
          <w:tcPr>
            <w:tcW w:type="dxa" w:w="720"/>
          </w:tcPr>
          <w:p>
            <w:pPr>
              <w:spacing w:after="80" w:line="245" w:lineRule="auto"/>
            </w:pPr>
            <w:r>
              <w:rPr>
                <w:rFonts w:ascii="Arial" w:hAnsi="Arial"/>
                <w:b w:val="0"/>
                <w:color w:val="202B33"/>
                <w:sz w:val="21"/>
              </w:rPr>
              <w:t>1</w:t>
            </w:r>
          </w:p>
        </w:tc>
        <w:tc>
          <w:tcPr>
            <w:tcW w:type="dxa" w:w="4608"/>
          </w:tcPr>
          <w:p>
            <w:pPr>
              <w:spacing w:after="80" w:line="245" w:lineRule="auto"/>
            </w:pPr>
            <w:r>
              <w:rPr>
                <w:rFonts w:ascii="Arial" w:hAnsi="Arial"/>
                <w:b w:val="0"/>
                <w:color w:val="202B33"/>
                <w:sz w:val="21"/>
              </w:rPr>
              <w:t>Some relevant facts but a model or interpretation error.</w:t>
            </w:r>
          </w:p>
        </w:tc>
        <w:tc>
          <w:tcPr>
            <w:tcW w:type="dxa" w:w="4608"/>
          </w:tcPr>
          <w:p>
            <w:pPr>
              <w:spacing w:after="80" w:line="245" w:lineRule="auto"/>
            </w:pPr>
            <w:r>
              <w:rPr>
                <w:rFonts w:ascii="Arial" w:hAnsi="Arial"/>
                <w:b w:val="0"/>
                <w:color w:val="202B33"/>
                <w:sz w:val="21"/>
              </w:rPr>
              <w:t>Use the named model and the corresponding prerequisite page.</w:t>
            </w:r>
          </w:p>
        </w:tc>
      </w:tr>
      <w:tr>
        <w:trPr>
          <w:cantSplit/>
        </w:trPr>
        <w:tc>
          <w:tcPr>
            <w:tcW w:type="dxa" w:w="720"/>
          </w:tcPr>
          <w:p>
            <w:pPr>
              <w:spacing w:after="80" w:line="245" w:lineRule="auto"/>
            </w:pPr>
            <w:r>
              <w:rPr>
                <w:rFonts w:ascii="Arial" w:hAnsi="Arial"/>
                <w:b w:val="0"/>
                <w:color w:val="202B33"/>
                <w:sz w:val="21"/>
              </w:rPr>
              <w:t>0</w:t>
            </w:r>
          </w:p>
        </w:tc>
        <w:tc>
          <w:tcPr>
            <w:tcW w:type="dxa" w:w="4608"/>
          </w:tcPr>
          <w:p>
            <w:pPr>
              <w:spacing w:after="80" w:line="245" w:lineRule="auto"/>
            </w:pPr>
            <w:r>
              <w:rPr>
                <w:rFonts w:ascii="Arial" w:hAnsi="Arial"/>
                <w:b w:val="0"/>
                <w:color w:val="202B33"/>
                <w:sz w:val="21"/>
              </w:rPr>
              <w:t>No interpretable evidence yet.</w:t>
            </w:r>
          </w:p>
        </w:tc>
        <w:tc>
          <w:tcPr>
            <w:tcW w:type="dxa" w:w="4608"/>
          </w:tcPr>
          <w:p>
            <w:pPr>
              <w:spacing w:after="80" w:line="245" w:lineRule="auto"/>
            </w:pPr>
            <w:r>
              <w:rPr>
                <w:rFonts w:ascii="Arial" w:hAnsi="Arial"/>
                <w:b w:val="0"/>
                <w:color w:val="202B33"/>
                <w:sz w:val="21"/>
              </w:rPr>
              <w:t>Oral/diagram response to separate access needs from mathematics.</w:t>
            </w:r>
          </w:p>
        </w:tc>
      </w:tr>
    </w:tbl>
    <w:p>
      <w:pPr>
        <w:spacing w:after="120" w:line="259" w:lineRule="auto"/>
      </w:pPr>
      <w:r>
        <w:rPr>
          <w:rFonts w:ascii="Arial" w:hAnsi="Arial"/>
          <w:b w:val="0"/>
          <w:color w:val="202B33"/>
          <w:sz w:val="23"/>
        </w:rPr>
        <w:t>Complete response anchor: Minimum 2, Q1 4, median 8, Q3 12, maximum 14. The box extends 4 to 12, with a median line at 8 and whiskers to 2 and 14.</w:t>
      </w:r>
    </w:p>
    <w:p>
      <w:pPr>
        <w:spacing w:after="120" w:line="259" w:lineRule="auto"/>
      </w:pPr>
      <w:r>
        <w:rPr>
          <w:rFonts w:ascii="Arial" w:hAnsi="Arial"/>
          <w:b w:val="0"/>
          <w:color w:val="202B33"/>
          <w:sz w:val="23"/>
        </w:rPr>
        <w:t>Misconception response anchor: Includes the overall median in the lower and upper halves despite the stated convention.. Use circle the overall median and set it aside while finding the medians of the two remaining halves.</w:t>
      </w:r>
    </w:p>
    <w:p>
      <w:pPr>
        <w:spacing w:after="120" w:line="259" w:lineRule="auto"/>
      </w:pPr>
      <w:r>
        <w:rPr>
          <w:rFonts w:ascii="Arial" w:hAnsi="Arial"/>
          <w:b w:val="0"/>
          <w:color w:val="202B33"/>
          <w:sz w:val="23"/>
        </w:rPr>
        <w:t>Language access: point/draw and label → oral rehearsal → relationship sentence → independent explanation. Offer the support needed for this task and fade it based on evidence. Suggested frame: I used ___ as the overall median; the lower half is ___, so Q1 is ___.</w:t>
      </w:r>
    </w:p>
    <w:p>
      <w:r>
        <w:br w:type="page"/>
      </w:r>
    </w:p>
    <w:p>
      <w:pPr>
        <w:pStyle w:val="Heading1"/>
        <w:keepNext/>
        <w:spacing w:after="120" w:line="259" w:lineRule="auto"/>
      </w:pPr>
      <w:r>
        <w:rPr>
          <w:rFonts w:ascii="Arial" w:hAnsi="Arial"/>
          <w:b/>
          <w:color w:val="202B33"/>
          <w:sz w:val="36"/>
        </w:rPr>
        <w:t>Session 2 · Comparing Box Plots</w:t>
      </w:r>
    </w:p>
    <w:p>
      <w:pPr>
        <w:spacing w:after="120" w:line="259" w:lineRule="auto"/>
      </w:pPr>
      <w:r>
        <w:rPr>
          <w:rFonts w:ascii="Arial" w:hAnsi="Arial"/>
          <w:b w:val="0"/>
          <w:color w:val="202B33"/>
          <w:sz w:val="23"/>
        </w:rPr>
        <w:t>I can compare two groups by reading the medians and box widths of their box plots. · 6.SP.B.4</w:t>
      </w:r>
    </w:p>
    <w:p>
      <w:pPr>
        <w:pStyle w:val="Heading2"/>
        <w:keepNext/>
        <w:spacing w:after="120" w:line="259" w:lineRule="auto"/>
      </w:pPr>
      <w:r>
        <w:rPr>
          <w:rFonts w:ascii="Arial" w:hAnsi="Arial"/>
          <w:b/>
          <w:color w:val="202B33"/>
          <w:sz w:val="25"/>
        </w:rPr>
        <w:t>Observe and respond</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Exit item</w:t>
            </w:r>
          </w:p>
        </w:tc>
        <w:tc>
          <w:tcPr>
            <w:tcW w:type="dxa" w:w="4032"/>
          </w:tcPr>
          <w:p>
            <w:pPr>
              <w:spacing w:after="80" w:line="245" w:lineRule="auto"/>
            </w:pPr>
            <w:r>
              <w:rPr>
                <w:rFonts w:ascii="Arial" w:hAnsi="Arial"/>
                <w:b/>
                <w:color w:val="003A70"/>
                <w:sz w:val="21"/>
              </w:rPr>
              <w:t>Expected evidence</w:t>
            </w:r>
          </w:p>
        </w:tc>
        <w:tc>
          <w:tcPr>
            <w:tcW w:type="dxa" w:w="5184"/>
          </w:tcPr>
          <w:p>
            <w:pPr>
              <w:spacing w:after="80" w:line="245" w:lineRule="auto"/>
            </w:pPr>
            <w:r>
              <w:rPr>
                <w:rFonts w:ascii="Arial" w:hAnsi="Arial"/>
                <w:b/>
                <w:color w:val="003A70"/>
                <w:sz w:val="21"/>
              </w:rPr>
              <w:t>Next prompt/model</w:t>
            </w:r>
          </w:p>
        </w:tc>
      </w:tr>
      <w:tr>
        <w:trPr>
          <w:cantSplit/>
        </w:trPr>
        <w:tc>
          <w:tcPr>
            <w:tcW w:type="dxa" w:w="720"/>
          </w:tcPr>
          <w:p>
            <w:pPr>
              <w:spacing w:after="80" w:line="245" w:lineRule="auto"/>
            </w:pPr>
            <w:r>
              <w:rPr>
                <w:rFonts w:ascii="Arial" w:hAnsi="Arial"/>
                <w:b w:val="0"/>
                <w:color w:val="202B33"/>
                <w:sz w:val="21"/>
              </w:rPr>
              <w:t>1</w:t>
            </w:r>
          </w:p>
        </w:tc>
        <w:tc>
          <w:tcPr>
            <w:tcW w:type="dxa" w:w="4032"/>
          </w:tcPr>
          <w:p>
            <w:pPr>
              <w:spacing w:after="80" w:line="245" w:lineRule="auto"/>
            </w:pPr>
            <w:r>
              <w:rPr>
                <w:rFonts w:ascii="Arial" w:hAnsi="Arial"/>
                <w:b w:val="0"/>
                <w:color w:val="202B33"/>
                <w:sz w:val="21"/>
              </w:rPr>
              <w:t>a. 12  b. 6  c. K</w:t>
            </w:r>
          </w:p>
        </w:tc>
        <w:tc>
          <w:tcPr>
            <w:tcW w:type="dxa" w:w="5184"/>
          </w:tcPr>
          <w:p>
            <w:pPr>
              <w:spacing w:after="80" w:line="245" w:lineRule="auto"/>
            </w:pPr>
            <w:r>
              <w:rPr>
                <w:rFonts w:ascii="Arial" w:hAnsi="Arial"/>
                <w:b w:val="0"/>
                <w:color w:val="202B33"/>
                <w:sz w:val="21"/>
              </w:rPr>
              <w:t>Label the axis as values, not counts. Ask which information a five-number summary does and does not contain.</w:t>
            </w:r>
          </w:p>
        </w:tc>
      </w:tr>
      <w:tr>
        <w:trPr>
          <w:cantSplit/>
        </w:trPr>
        <w:tc>
          <w:tcPr>
            <w:tcW w:type="dxa" w:w="720"/>
          </w:tcPr>
          <w:p>
            <w:pPr>
              <w:spacing w:after="80" w:line="245" w:lineRule="auto"/>
            </w:pPr>
            <w:r>
              <w:rPr>
                <w:rFonts w:ascii="Arial" w:hAnsi="Arial"/>
                <w:b w:val="0"/>
                <w:color w:val="202B33"/>
                <w:sz w:val="21"/>
              </w:rPr>
              <w:t>2</w:t>
            </w:r>
          </w:p>
        </w:tc>
        <w:tc>
          <w:tcPr>
            <w:tcW w:type="dxa" w:w="4032"/>
          </w:tcPr>
          <w:p>
            <w:pPr>
              <w:spacing w:after="80" w:line="245" w:lineRule="auto"/>
            </w:pPr>
            <w:r>
              <w:rPr>
                <w:rFonts w:ascii="Arial" w:hAnsi="Arial"/>
                <w:b w:val="0"/>
                <w:color w:val="202B33"/>
                <w:sz w:val="21"/>
              </w:rPr>
              <w:t>Class B, by 7</w:t>
            </w:r>
          </w:p>
        </w:tc>
        <w:tc>
          <w:tcPr>
            <w:tcW w:type="dxa" w:w="5184"/>
          </w:tcPr>
          <w:p>
            <w:pPr>
              <w:spacing w:after="80" w:line="245" w:lineRule="auto"/>
            </w:pPr>
            <w:r>
              <w:rPr>
                <w:rFonts w:ascii="Arial" w:hAnsi="Arial"/>
                <w:b w:val="0"/>
                <w:color w:val="202B33"/>
                <w:sz w:val="21"/>
              </w:rPr>
              <w:t>Label the axis as values, not counts. Ask which information a five-number summary does and does not contain.</w:t>
            </w:r>
          </w:p>
        </w:tc>
      </w:tr>
      <w:tr>
        <w:trPr>
          <w:cantSplit/>
        </w:trPr>
        <w:tc>
          <w:tcPr>
            <w:tcW w:type="dxa" w:w="720"/>
          </w:tcPr>
          <w:p>
            <w:pPr>
              <w:spacing w:after="80" w:line="245" w:lineRule="auto"/>
            </w:pPr>
            <w:r>
              <w:rPr>
                <w:rFonts w:ascii="Arial" w:hAnsi="Arial"/>
                <w:b w:val="0"/>
                <w:color w:val="202B33"/>
                <w:sz w:val="21"/>
              </w:rPr>
              <w:t>3</w:t>
            </w:r>
          </w:p>
        </w:tc>
        <w:tc>
          <w:tcPr>
            <w:tcW w:type="dxa" w:w="4032"/>
          </w:tcPr>
          <w:p>
            <w:pPr>
              <w:spacing w:after="80" w:line="245" w:lineRule="auto"/>
            </w:pPr>
            <w:r>
              <w:rPr>
                <w:rFonts w:ascii="Arial" w:hAnsi="Arial"/>
                <w:b w:val="0"/>
                <w:color w:val="202B33"/>
                <w:sz w:val="21"/>
              </w:rPr>
              <w:t>B — S is more spread out</w:t>
            </w:r>
          </w:p>
        </w:tc>
        <w:tc>
          <w:tcPr>
            <w:tcW w:type="dxa" w:w="5184"/>
          </w:tcPr>
          <w:p>
            <w:pPr>
              <w:spacing w:after="80" w:line="245" w:lineRule="auto"/>
            </w:pPr>
            <w:r>
              <w:rPr>
                <w:rFonts w:ascii="Arial" w:hAnsi="Arial"/>
                <w:b w:val="0"/>
                <w:color w:val="202B33"/>
                <w:sz w:val="21"/>
              </w:rPr>
              <w:t>Ask the learner to show why B — S is more spread out is correct and reject a specific distractor using a model.</w:t>
            </w:r>
          </w:p>
        </w:tc>
      </w:tr>
    </w:tbl>
    <w:p>
      <w:pPr>
        <w:pStyle w:val="Heading2"/>
        <w:keepNext/>
        <w:spacing w:after="120" w:line="259" w:lineRule="auto"/>
      </w:pPr>
      <w:r>
        <w:rPr>
          <w:rFonts w:ascii="Arial" w:hAnsi="Arial"/>
          <w:b/>
          <w:color w:val="202B33"/>
          <w:sz w:val="25"/>
        </w:rPr>
        <w:t>Distinguish the error</w:t>
      </w:r>
    </w:p>
    <w:p>
      <w:pPr>
        <w:spacing w:after="120" w:line="259" w:lineRule="auto"/>
      </w:pPr>
      <w:r>
        <w:rPr>
          <w:rFonts w:ascii="Arial" w:hAnsi="Arial"/>
          <w:b w:val="0"/>
          <w:color w:val="202B33"/>
          <w:sz w:val="23"/>
        </w:rPr>
        <w:t>Conceptual signal: Uses box length to infer the number of observations..</w:t>
      </w:r>
    </w:p>
    <w:p>
      <w:pPr>
        <w:spacing w:after="120" w:line="259" w:lineRule="auto"/>
      </w:pPr>
      <w:r>
        <w:rPr>
          <w:rFonts w:ascii="Arial" w:hAnsi="Arial"/>
          <w:b w:val="0"/>
          <w:color w:val="202B33"/>
          <w:sz w:val="23"/>
        </w:rPr>
        <w:t>Response: Label the axis as values, not counts. Ask which information a five-number summary does and does not contain.</w:t>
      </w:r>
    </w:p>
    <w:p>
      <w:pPr>
        <w:spacing w:after="120" w:line="259" w:lineRule="auto"/>
      </w:pPr>
      <w:r>
        <w:rPr>
          <w:rFonts w:ascii="Arial" w:hAnsi="Arial"/>
          <w:b w:val="0"/>
          <w:color w:val="202B33"/>
          <w:sz w:val="21"/>
        </w:rPr>
        <w:t>Also check: Comparing whisker lengths instead of median lines to judge center.</w:t>
      </w:r>
    </w:p>
    <w:p>
      <w:pPr>
        <w:spacing w:after="120" w:line="259" w:lineRule="auto"/>
      </w:pPr>
      <w:r>
        <w:rPr>
          <w:rFonts w:ascii="Arial" w:hAnsi="Arial"/>
          <w:b w:val="0"/>
          <w:color w:val="202B33"/>
          <w:sz w:val="21"/>
        </w:rPr>
        <w:t>Also check: Thinking the same box width means the same spread when the whiskers differ a lot.</w:t>
      </w:r>
    </w:p>
    <w:p>
      <w:pPr>
        <w:spacing w:after="120" w:line="259" w:lineRule="auto"/>
      </w:pPr>
      <w:r>
        <w:rPr>
          <w:rFonts w:ascii="Arial" w:hAnsi="Arial"/>
          <w:b w:val="0"/>
          <w:color w:val="202B33"/>
          <w:sz w:val="23"/>
        </w:rPr>
        <w:t>If calculation alone is wrong, use Session 2 Prerequisite Practice A for the matching skill, then return to the model. If the interpretation is wrong, label the quantities before reteaching the operation. Independent re-entry requires a correct setup and a connected explanation.</w:t>
      </w:r>
    </w:p>
    <w:p>
      <w:r>
        <w:br w:type="page"/>
      </w:r>
    </w:p>
    <w:p>
      <w:pPr>
        <w:pStyle w:val="Heading1"/>
        <w:keepNext/>
        <w:spacing w:after="120" w:line="259" w:lineRule="auto"/>
      </w:pPr>
      <w:r>
        <w:rPr>
          <w:rFonts w:ascii="Arial" w:hAnsi="Arial"/>
          <w:b/>
          <w:color w:val="202B33"/>
          <w:sz w:val="36"/>
        </w:rPr>
        <w:t>Session 2 · Fresh check and scoring</w:t>
      </w:r>
    </w:p>
    <w:p>
      <w:pPr>
        <w:spacing w:after="120" w:line="259" w:lineRule="auto"/>
      </w:pPr>
      <w:r>
        <w:rPr>
          <w:rFonts w:ascii="Arial" w:hAnsi="Arial"/>
          <w:b w:val="0"/>
          <w:color w:val="202B33"/>
          <w:sz w:val="23"/>
        </w:rPr>
        <w:t>Reserve this check until after revision; it is distinct from the exit ticket. Do not show this teacher page to learners beforehand.</w:t>
      </w:r>
    </w:p>
    <w:p>
      <w:pPr>
        <w:spacing w:after="120" w:line="259" w:lineRule="auto"/>
      </w:pPr>
      <w:r>
        <w:rPr>
          <w:rFonts w:ascii="Arial" w:hAnsi="Arial"/>
          <w:b w:val="0"/>
          <w:color w:val="202B33"/>
          <w:sz w:val="23"/>
        </w:rPr>
        <w:t>A has Q1 5, median 7, Q3 9; B has Q1 4, median 8, Q3 12. Compare medians and IQRs.</w:t>
      </w:r>
    </w:p>
    <w:p>
      <w:pPr>
        <w:spacing w:after="120" w:line="259" w:lineRule="auto"/>
      </w:pPr>
      <w:r>
        <w:rPr>
          <w:rFonts w:ascii="Arial" w:hAnsi="Arial"/>
          <w:b w:val="0"/>
          <w:color w:val="202B33"/>
          <w:sz w:val="23"/>
        </w:rPr>
        <w:t>Teacher solution: A: median 7, IQR 4; B: median 8, IQR 8. A has a lower center and a less spread-out middle half.</w:t>
      </w:r>
    </w:p>
    <w:p>
      <w:pPr>
        <w:pStyle w:val="Heading2"/>
        <w:keepNext/>
        <w:spacing w:after="120" w:line="259" w:lineRule="auto"/>
      </w:pPr>
      <w:r>
        <w:rPr>
          <w:rFonts w:ascii="Arial" w:hAnsi="Arial"/>
          <w:b/>
          <w:color w:val="202B33"/>
          <w:sz w:val="25"/>
        </w:rPr>
        <w:t>Score the evidence</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Score</w:t>
            </w:r>
          </w:p>
        </w:tc>
        <w:tc>
          <w:tcPr>
            <w:tcW w:type="dxa" w:w="4608"/>
          </w:tcPr>
          <w:p>
            <w:pPr>
              <w:spacing w:after="80" w:line="245" w:lineRule="auto"/>
            </w:pPr>
            <w:r>
              <w:rPr>
                <w:rFonts w:ascii="Arial" w:hAnsi="Arial"/>
                <w:b/>
                <w:color w:val="003A70"/>
                <w:sz w:val="21"/>
              </w:rPr>
              <w:t>Evidence</w:t>
            </w:r>
          </w:p>
        </w:tc>
        <w:tc>
          <w:tcPr>
            <w:tcW w:type="dxa" w:w="4608"/>
          </w:tcPr>
          <w:p>
            <w:pPr>
              <w:spacing w:after="80" w:line="245" w:lineRule="auto"/>
            </w:pPr>
            <w:r>
              <w:rPr>
                <w:rFonts w:ascii="Arial" w:hAnsi="Arial"/>
                <w:b/>
                <w:color w:val="003A70"/>
                <w:sz w:val="21"/>
              </w:rPr>
              <w:t>Next action</w:t>
            </w:r>
          </w:p>
        </w:tc>
      </w:tr>
      <w:tr>
        <w:trPr>
          <w:cantSplit/>
        </w:trPr>
        <w:tc>
          <w:tcPr>
            <w:tcW w:type="dxa" w:w="720"/>
          </w:tcPr>
          <w:p>
            <w:pPr>
              <w:spacing w:after="80" w:line="245" w:lineRule="auto"/>
            </w:pPr>
            <w:r>
              <w:rPr>
                <w:rFonts w:ascii="Arial" w:hAnsi="Arial"/>
                <w:b w:val="0"/>
                <w:color w:val="202B33"/>
                <w:sz w:val="21"/>
              </w:rPr>
              <w:t>3</w:t>
            </w:r>
          </w:p>
        </w:tc>
        <w:tc>
          <w:tcPr>
            <w:tcW w:type="dxa" w:w="4608"/>
          </w:tcPr>
          <w:p>
            <w:pPr>
              <w:spacing w:after="80" w:line="245" w:lineRule="auto"/>
            </w:pPr>
            <w:r>
              <w:rPr>
                <w:rFonts w:ascii="Arial" w:hAnsi="Arial"/>
                <w:b w:val="0"/>
                <w:color w:val="202B33"/>
                <w:sz w:val="21"/>
              </w:rPr>
              <w:t>Valid representation, correct result/units, connected explanation.</w:t>
            </w:r>
          </w:p>
        </w:tc>
        <w:tc>
          <w:tcPr>
            <w:tcW w:type="dxa" w:w="4608"/>
          </w:tcPr>
          <w:p>
            <w:pPr>
              <w:spacing w:after="80" w:line="245" w:lineRule="auto"/>
            </w:pPr>
            <w:r>
              <w:rPr>
                <w:rFonts w:ascii="Arial" w:hAnsi="Arial"/>
                <w:b w:val="0"/>
                <w:color w:val="202B33"/>
                <w:sz w:val="21"/>
              </w:rPr>
              <w:t>Continue; fade a support next time.</w:t>
            </w:r>
          </w:p>
        </w:tc>
      </w:tr>
      <w:tr>
        <w:trPr>
          <w:cantSplit/>
        </w:trPr>
        <w:tc>
          <w:tcPr>
            <w:tcW w:type="dxa" w:w="720"/>
          </w:tcPr>
          <w:p>
            <w:pPr>
              <w:spacing w:after="80" w:line="245" w:lineRule="auto"/>
            </w:pPr>
            <w:r>
              <w:rPr>
                <w:rFonts w:ascii="Arial" w:hAnsi="Arial"/>
                <w:b w:val="0"/>
                <w:color w:val="202B33"/>
                <w:sz w:val="21"/>
              </w:rPr>
              <w:t>2</w:t>
            </w:r>
          </w:p>
        </w:tc>
        <w:tc>
          <w:tcPr>
            <w:tcW w:type="dxa" w:w="4608"/>
          </w:tcPr>
          <w:p>
            <w:pPr>
              <w:spacing w:after="80" w:line="245" w:lineRule="auto"/>
            </w:pPr>
            <w:r>
              <w:rPr>
                <w:rFonts w:ascii="Arial" w:hAnsi="Arial"/>
                <w:b w:val="0"/>
                <w:color w:val="202B33"/>
                <w:sz w:val="21"/>
              </w:rPr>
              <w:t>Correct setup and meaning with a calculation/notation slip, or an incomplete explanation.</w:t>
            </w:r>
          </w:p>
        </w:tc>
        <w:tc>
          <w:tcPr>
            <w:tcW w:type="dxa" w:w="4608"/>
          </w:tcPr>
          <w:p>
            <w:pPr>
              <w:spacing w:after="80" w:line="245" w:lineRule="auto"/>
            </w:pPr>
            <w:r>
              <w:rPr>
                <w:rFonts w:ascii="Arial" w:hAnsi="Arial"/>
                <w:b w:val="0"/>
                <w:color w:val="202B33"/>
                <w:sz w:val="21"/>
              </w:rPr>
              <w:t>Brief targeted feedback, then another unseen check.</w:t>
            </w:r>
          </w:p>
        </w:tc>
      </w:tr>
      <w:tr>
        <w:trPr>
          <w:cantSplit/>
        </w:trPr>
        <w:tc>
          <w:tcPr>
            <w:tcW w:type="dxa" w:w="720"/>
          </w:tcPr>
          <w:p>
            <w:pPr>
              <w:spacing w:after="80" w:line="245" w:lineRule="auto"/>
            </w:pPr>
            <w:r>
              <w:rPr>
                <w:rFonts w:ascii="Arial" w:hAnsi="Arial"/>
                <w:b w:val="0"/>
                <w:color w:val="202B33"/>
                <w:sz w:val="21"/>
              </w:rPr>
              <w:t>1</w:t>
            </w:r>
          </w:p>
        </w:tc>
        <w:tc>
          <w:tcPr>
            <w:tcW w:type="dxa" w:w="4608"/>
          </w:tcPr>
          <w:p>
            <w:pPr>
              <w:spacing w:after="80" w:line="245" w:lineRule="auto"/>
            </w:pPr>
            <w:r>
              <w:rPr>
                <w:rFonts w:ascii="Arial" w:hAnsi="Arial"/>
                <w:b w:val="0"/>
                <w:color w:val="202B33"/>
                <w:sz w:val="21"/>
              </w:rPr>
              <w:t>Some relevant facts but a model or interpretation error.</w:t>
            </w:r>
          </w:p>
        </w:tc>
        <w:tc>
          <w:tcPr>
            <w:tcW w:type="dxa" w:w="4608"/>
          </w:tcPr>
          <w:p>
            <w:pPr>
              <w:spacing w:after="80" w:line="245" w:lineRule="auto"/>
            </w:pPr>
            <w:r>
              <w:rPr>
                <w:rFonts w:ascii="Arial" w:hAnsi="Arial"/>
                <w:b w:val="0"/>
                <w:color w:val="202B33"/>
                <w:sz w:val="21"/>
              </w:rPr>
              <w:t>Use the named model and the corresponding prerequisite page.</w:t>
            </w:r>
          </w:p>
        </w:tc>
      </w:tr>
      <w:tr>
        <w:trPr>
          <w:cantSplit/>
        </w:trPr>
        <w:tc>
          <w:tcPr>
            <w:tcW w:type="dxa" w:w="720"/>
          </w:tcPr>
          <w:p>
            <w:pPr>
              <w:spacing w:after="80" w:line="245" w:lineRule="auto"/>
            </w:pPr>
            <w:r>
              <w:rPr>
                <w:rFonts w:ascii="Arial" w:hAnsi="Arial"/>
                <w:b w:val="0"/>
                <w:color w:val="202B33"/>
                <w:sz w:val="21"/>
              </w:rPr>
              <w:t>0</w:t>
            </w:r>
          </w:p>
        </w:tc>
        <w:tc>
          <w:tcPr>
            <w:tcW w:type="dxa" w:w="4608"/>
          </w:tcPr>
          <w:p>
            <w:pPr>
              <w:spacing w:after="80" w:line="245" w:lineRule="auto"/>
            </w:pPr>
            <w:r>
              <w:rPr>
                <w:rFonts w:ascii="Arial" w:hAnsi="Arial"/>
                <w:b w:val="0"/>
                <w:color w:val="202B33"/>
                <w:sz w:val="21"/>
              </w:rPr>
              <w:t>No interpretable evidence yet.</w:t>
            </w:r>
          </w:p>
        </w:tc>
        <w:tc>
          <w:tcPr>
            <w:tcW w:type="dxa" w:w="4608"/>
          </w:tcPr>
          <w:p>
            <w:pPr>
              <w:spacing w:after="80" w:line="245" w:lineRule="auto"/>
            </w:pPr>
            <w:r>
              <w:rPr>
                <w:rFonts w:ascii="Arial" w:hAnsi="Arial"/>
                <w:b w:val="0"/>
                <w:color w:val="202B33"/>
                <w:sz w:val="21"/>
              </w:rPr>
              <w:t>Oral/diagram response to separate access needs from mathematics.</w:t>
            </w:r>
          </w:p>
        </w:tc>
      </w:tr>
    </w:tbl>
    <w:p>
      <w:pPr>
        <w:spacing w:after="120" w:line="259" w:lineRule="auto"/>
      </w:pPr>
      <w:r>
        <w:rPr>
          <w:rFonts w:ascii="Arial" w:hAnsi="Arial"/>
          <w:b w:val="0"/>
          <w:color w:val="202B33"/>
          <w:sz w:val="23"/>
        </w:rPr>
        <w:t>Complete response anchor: A has median 8 and IQR 4; B has median 10 and IQR 8. A has the lower median and smaller middle-half spread. Sample sizes cannot be determined from these box plots alone.</w:t>
      </w:r>
    </w:p>
    <w:p>
      <w:pPr>
        <w:spacing w:after="120" w:line="259" w:lineRule="auto"/>
      </w:pPr>
      <w:r>
        <w:rPr>
          <w:rFonts w:ascii="Arial" w:hAnsi="Arial"/>
          <w:b w:val="0"/>
          <w:color w:val="202B33"/>
          <w:sz w:val="23"/>
        </w:rPr>
        <w:t>Misconception response anchor: Uses box length to infer the number of observations.. Use label the axis as values, not counts. Ask which information a five-number summary does and does not contain.</w:t>
      </w:r>
    </w:p>
    <w:p>
      <w:pPr>
        <w:spacing w:after="120" w:line="259" w:lineRule="auto"/>
      </w:pPr>
      <w:r>
        <w:rPr>
          <w:rFonts w:ascii="Arial" w:hAnsi="Arial"/>
          <w:b w:val="0"/>
          <w:color w:val="202B33"/>
          <w:sz w:val="23"/>
        </w:rPr>
        <w:t>Language access: point/draw and label → oral rehearsal → relationship sentence → independent explanation. Offer the support needed for this task and fade it based on evidence. Suggested frame: Group ___ has a smaller IQR because ___ − ___ = ___, compared with ___.</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Lesson 2.4 Teaching Support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2.4 Teaching Support Guide</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