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spacing w:after="120" w:line="259" w:lineRule="auto"/>
      </w:pPr>
      <w:r>
        <w:rPr>
          <w:rFonts w:ascii="Arial" w:hAnsi="Arial"/>
          <w:b/>
          <w:color w:val="202B33"/>
          <w:sz w:val="36"/>
        </w:rPr>
        <w:t>Lesson 3.7 Teaching Support Guide</w:t>
      </w:r>
    </w:p>
    <w:p>
      <w:pPr>
        <w:pStyle w:val="Heading2"/>
        <w:keepNext/>
        <w:spacing w:after="120" w:line="259" w:lineRule="auto"/>
      </w:pPr>
      <w:r>
        <w:rPr>
          <w:rFonts w:ascii="Arial" w:hAnsi="Arial"/>
          <w:b/>
          <w:color w:val="202B33"/>
          <w:sz w:val="25"/>
        </w:rPr>
        <w:t>Teach-tomorrow route</w:t>
      </w:r>
    </w:p>
    <w:p>
      <w:pPr>
        <w:spacing w:after="120" w:line="259" w:lineRule="auto"/>
      </w:pPr>
      <w:r>
        <w:rPr>
          <w:rFonts w:ascii="Arial" w:hAnsi="Arial"/>
          <w:b w:val="0"/>
          <w:color w:val="202B33"/>
          <w:sz w:val="23"/>
        </w:rPr>
        <w:t>Print: current Guided Notes and Practice A for the class; Exit Tickets; optional Language Support and supported homework. Keep this guide and answer keys teacher-facing. Use the full-size model pages in the updated notes.</w:t>
      </w:r>
    </w:p>
    <w:tbl>
      <w:tblPr>
        <w:tblStyle w:val="TableGrid"/>
        <w:tblW w:type="auto" w:w="0"/>
        <w:tblLayout w:type="fixed"/>
        <w:tblLook w:firstColumn="1" w:firstRow="1" w:lastColumn="0" w:lastRow="0" w:noHBand="0" w:noVBand="1" w:val="04A0"/>
      </w:tblPr>
      <w:tblGrid>
        <w:gridCol w:w="3360"/>
        <w:gridCol w:w="3360"/>
        <w:gridCol w:w="3360"/>
      </w:tblGrid>
      <w:tr>
        <w:trPr>
          <w:tblHeader/>
          <w:cantSplit/>
        </w:trPr>
        <w:tc>
          <w:tcPr>
            <w:tcW w:type="dxa" w:w="1440"/>
          </w:tcPr>
          <w:p>
            <w:pPr>
              <w:spacing w:after="80" w:line="245" w:lineRule="auto"/>
            </w:pPr>
            <w:r>
              <w:rPr>
                <w:rFonts w:ascii="Arial" w:hAnsi="Arial"/>
                <w:b/>
                <w:color w:val="003A70"/>
                <w:sz w:val="21"/>
              </w:rPr>
              <w:t>Phase</w:t>
            </w:r>
          </w:p>
        </w:tc>
        <w:tc>
          <w:tcPr>
            <w:tcW w:type="dxa" w:w="1152"/>
          </w:tcPr>
          <w:p>
            <w:pPr>
              <w:spacing w:after="80" w:line="245" w:lineRule="auto"/>
            </w:pPr>
            <w:r>
              <w:rPr>
                <w:rFonts w:ascii="Arial" w:hAnsi="Arial"/>
                <w:b/>
                <w:color w:val="003A70"/>
                <w:sz w:val="21"/>
              </w:rPr>
              <w:t>Planned minutes</w:t>
            </w:r>
          </w:p>
        </w:tc>
        <w:tc>
          <w:tcPr>
            <w:tcW w:type="dxa" w:w="7344"/>
          </w:tcPr>
          <w:p>
            <w:pPr>
              <w:spacing w:after="80" w:line="245" w:lineRule="auto"/>
            </w:pPr>
            <w:r>
              <w:rPr>
                <w:rFonts w:ascii="Arial" w:hAnsi="Arial"/>
                <w:b/>
                <w:color w:val="003A70"/>
                <w:sz w:val="21"/>
              </w:rPr>
              <w:t>Teaching move</w:t>
            </w:r>
          </w:p>
        </w:tc>
      </w:tr>
      <w:tr>
        <w:trPr>
          <w:cantSplit/>
        </w:trPr>
        <w:tc>
          <w:tcPr>
            <w:tcW w:type="dxa" w:w="1440"/>
          </w:tcPr>
          <w:p>
            <w:pPr>
              <w:spacing w:after="80" w:line="245" w:lineRule="auto"/>
            </w:pPr>
            <w:r>
              <w:rPr>
                <w:rFonts w:ascii="Arial" w:hAnsi="Arial"/>
                <w:b w:val="0"/>
                <w:color w:val="202B33"/>
                <w:sz w:val="21"/>
              </w:rPr>
              <w:t>Retrieve</w:t>
            </w:r>
          </w:p>
        </w:tc>
        <w:tc>
          <w:tcPr>
            <w:tcW w:type="dxa" w:w="1152"/>
          </w:tcPr>
          <w:p>
            <w:pPr>
              <w:spacing w:after="80" w:line="245" w:lineRule="auto"/>
            </w:pPr>
            <w:r>
              <w:rPr>
                <w:rFonts w:ascii="Arial" w:hAnsi="Arial"/>
                <w:b w:val="0"/>
                <w:color w:val="202B33"/>
                <w:sz w:val="21"/>
              </w:rPr>
              <w:t>5</w:t>
            </w:r>
          </w:p>
        </w:tc>
        <w:tc>
          <w:tcPr>
            <w:tcW w:type="dxa" w:w="7344"/>
          </w:tcPr>
          <w:p>
            <w:pPr>
              <w:spacing w:after="80" w:line="245" w:lineRule="auto"/>
            </w:pPr>
            <w:r>
              <w:rPr>
                <w:rFonts w:ascii="Arial" w:hAnsi="Arial"/>
                <w:b w:val="0"/>
                <w:color w:val="202B33"/>
                <w:sz w:val="21"/>
              </w:rPr>
              <w:t>Warm-Up items 1–4; note the missing prerequisite before launch.</w:t>
            </w:r>
          </w:p>
        </w:tc>
      </w:tr>
      <w:tr>
        <w:trPr>
          <w:cantSplit/>
        </w:trPr>
        <w:tc>
          <w:tcPr>
            <w:tcW w:type="dxa" w:w="1440"/>
          </w:tcPr>
          <w:p>
            <w:pPr>
              <w:spacing w:after="80" w:line="245" w:lineRule="auto"/>
            </w:pPr>
            <w:r>
              <w:rPr>
                <w:rFonts w:ascii="Arial" w:hAnsi="Arial"/>
                <w:b w:val="0"/>
                <w:color w:val="202B33"/>
                <w:sz w:val="21"/>
              </w:rPr>
              <w:t>Launch</w:t>
            </w:r>
          </w:p>
        </w:tc>
        <w:tc>
          <w:tcPr>
            <w:tcW w:type="dxa" w:w="1152"/>
          </w:tcPr>
          <w:p>
            <w:pPr>
              <w:spacing w:after="80" w:line="245" w:lineRule="auto"/>
            </w:pPr>
            <w:r>
              <w:rPr>
                <w:rFonts w:ascii="Arial" w:hAnsi="Arial"/>
                <w:b w:val="0"/>
                <w:color w:val="202B33"/>
                <w:sz w:val="21"/>
              </w:rPr>
              <w:t>7</w:t>
            </w:r>
          </w:p>
        </w:tc>
        <w:tc>
          <w:tcPr>
            <w:tcW w:type="dxa" w:w="7344"/>
          </w:tcPr>
          <w:p>
            <w:pPr>
              <w:spacing w:after="80" w:line="245" w:lineRule="auto"/>
            </w:pPr>
            <w:r>
              <w:rPr>
                <w:rFonts w:ascii="Arial" w:hAnsi="Arial"/>
                <w:b w:val="0"/>
                <w:color w:val="202B33"/>
                <w:sz w:val="21"/>
              </w:rPr>
              <w:t>Name the session target and invite a prediction from the conceptual task.</w:t>
            </w:r>
          </w:p>
        </w:tc>
      </w:tr>
      <w:tr>
        <w:trPr>
          <w:cantSplit/>
        </w:trPr>
        <w:tc>
          <w:tcPr>
            <w:tcW w:type="dxa" w:w="1440"/>
          </w:tcPr>
          <w:p>
            <w:pPr>
              <w:spacing w:after="80" w:line="245" w:lineRule="auto"/>
            </w:pPr>
            <w:r>
              <w:rPr>
                <w:rFonts w:ascii="Arial" w:hAnsi="Arial"/>
                <w:b w:val="0"/>
                <w:color w:val="202B33"/>
                <w:sz w:val="21"/>
              </w:rPr>
              <w:t>Model</w:t>
            </w:r>
          </w:p>
        </w:tc>
        <w:tc>
          <w:tcPr>
            <w:tcW w:type="dxa" w:w="1152"/>
          </w:tcPr>
          <w:p>
            <w:pPr>
              <w:spacing w:after="80" w:line="245" w:lineRule="auto"/>
            </w:pPr>
            <w:r>
              <w:rPr>
                <w:rFonts w:ascii="Arial" w:hAnsi="Arial"/>
                <w:b w:val="0"/>
                <w:color w:val="202B33"/>
                <w:sz w:val="21"/>
              </w:rPr>
              <w:t>10</w:t>
            </w:r>
          </w:p>
        </w:tc>
        <w:tc>
          <w:tcPr>
            <w:tcW w:type="dxa" w:w="7344"/>
          </w:tcPr>
          <w:p>
            <w:pPr>
              <w:spacing w:after="80" w:line="245" w:lineRule="auto"/>
            </w:pPr>
            <w:r>
              <w:rPr>
                <w:rFonts w:ascii="Arial" w:hAnsi="Arial"/>
                <w:b w:val="0"/>
                <w:color w:val="202B33"/>
                <w:sz w:val="21"/>
              </w:rPr>
              <w:t>Link a visual model to the worked example; rehearse the mathematical explanation.</w:t>
            </w:r>
          </w:p>
        </w:tc>
      </w:tr>
      <w:tr>
        <w:trPr>
          <w:cantSplit/>
        </w:trPr>
        <w:tc>
          <w:tcPr>
            <w:tcW w:type="dxa" w:w="1440"/>
          </w:tcPr>
          <w:p>
            <w:pPr>
              <w:spacing w:after="80" w:line="245" w:lineRule="auto"/>
            </w:pPr>
            <w:r>
              <w:rPr>
                <w:rFonts w:ascii="Arial" w:hAnsi="Arial"/>
                <w:b w:val="0"/>
                <w:color w:val="202B33"/>
                <w:sz w:val="21"/>
              </w:rPr>
              <w:t>Practice</w:t>
            </w:r>
          </w:p>
        </w:tc>
        <w:tc>
          <w:tcPr>
            <w:tcW w:type="dxa" w:w="1152"/>
          </w:tcPr>
          <w:p>
            <w:pPr>
              <w:spacing w:after="80" w:line="245" w:lineRule="auto"/>
            </w:pPr>
            <w:r>
              <w:rPr>
                <w:rFonts w:ascii="Arial" w:hAnsi="Arial"/>
                <w:b w:val="0"/>
                <w:color w:val="202B33"/>
                <w:sz w:val="21"/>
              </w:rPr>
              <w:t>18</w:t>
            </w:r>
          </w:p>
        </w:tc>
        <w:tc>
          <w:tcPr>
            <w:tcW w:type="dxa" w:w="7344"/>
          </w:tcPr>
          <w:p>
            <w:pPr>
              <w:spacing w:after="80" w:line="245" w:lineRule="auto"/>
            </w:pPr>
            <w:r>
              <w:rPr>
                <w:rFonts w:ascii="Arial" w:hAnsi="Arial"/>
                <w:b w:val="0"/>
                <w:color w:val="202B33"/>
                <w:sz w:val="21"/>
              </w:rPr>
              <w:t>Core: A #1, #2, #4, #6 and the error task. Choose remaining items from evidence.</w:t>
            </w:r>
          </w:p>
        </w:tc>
      </w:tr>
      <w:tr>
        <w:trPr>
          <w:cantSplit/>
        </w:trPr>
        <w:tc>
          <w:tcPr>
            <w:tcW w:type="dxa" w:w="1440"/>
          </w:tcPr>
          <w:p>
            <w:pPr>
              <w:spacing w:after="80" w:line="245" w:lineRule="auto"/>
            </w:pPr>
            <w:r>
              <w:rPr>
                <w:rFonts w:ascii="Arial" w:hAnsi="Arial"/>
                <w:b w:val="0"/>
                <w:color w:val="202B33"/>
                <w:sz w:val="21"/>
              </w:rPr>
              <w:t>Check</w:t>
            </w:r>
          </w:p>
        </w:tc>
        <w:tc>
          <w:tcPr>
            <w:tcW w:type="dxa" w:w="1152"/>
          </w:tcPr>
          <w:p>
            <w:pPr>
              <w:spacing w:after="80" w:line="245" w:lineRule="auto"/>
            </w:pPr>
            <w:r>
              <w:rPr>
                <w:rFonts w:ascii="Arial" w:hAnsi="Arial"/>
                <w:b w:val="0"/>
                <w:color w:val="202B33"/>
                <w:sz w:val="21"/>
              </w:rPr>
              <w:t>5</w:t>
            </w:r>
          </w:p>
        </w:tc>
        <w:tc>
          <w:tcPr>
            <w:tcW w:type="dxa" w:w="7344"/>
          </w:tcPr>
          <w:p>
            <w:pPr>
              <w:spacing w:after="80" w:line="245" w:lineRule="auto"/>
            </w:pPr>
            <w:r>
              <w:rPr>
                <w:rFonts w:ascii="Arial" w:hAnsi="Arial"/>
                <w:b w:val="0"/>
                <w:color w:val="202B33"/>
                <w:sz w:val="21"/>
              </w:rPr>
              <w:t>Exit Ticket; use the diagnostic page before assigning reteaching.</w:t>
            </w:r>
          </w:p>
        </w:tc>
      </w:tr>
    </w:tbl>
    <w:p>
      <w:pPr>
        <w:spacing w:after="120" w:line="259" w:lineRule="auto"/>
      </w:pPr>
      <w:r>
        <w:rPr>
          <w:rFonts w:ascii="Arial" w:hAnsi="Arial"/>
          <w:b w:val="0"/>
          <w:color w:val="202B33"/>
          <w:sz w:val="23"/>
        </w:rPr>
        <w:t>This is a planned 45-minute route, not a measured classroom duration. For a shorter lesson, keep the model and exit; reduce repeated practice. Form B is parallel practice or reassessment only when its items are unseen.</w:t>
      </w:r>
    </w:p>
    <w:p>
      <w:pPr>
        <w:spacing w:after="120" w:line="259" w:lineRule="auto"/>
      </w:pPr>
      <w:r>
        <w:rPr>
          <w:rFonts w:ascii="Arial" w:hAnsi="Arial"/>
          <w:b w:val="0"/>
          <w:color w:val="202B33"/>
          <w:sz w:val="23"/>
        </w:rPr>
        <w:t>S1: Customary vs. Metric Conversions · I can convert a measurement between the customary and metric systems using a given rate.</w:t>
      </w:r>
    </w:p>
    <w:p>
      <w:pPr>
        <w:spacing w:after="120" w:line="259" w:lineRule="auto"/>
      </w:pPr>
      <w:r>
        <w:rPr>
          <w:rFonts w:ascii="Arial" w:hAnsi="Arial"/>
          <w:b w:val="0"/>
          <w:color w:val="202B33"/>
          <w:sz w:val="23"/>
        </w:rPr>
        <w:t>S2: Multi-Step System Conversions and Dosage · I can solve a multi-step problem that requires converting units before using a rate.</w:t>
      </w:r>
    </w:p>
    <w:p>
      <w:pPr>
        <w:spacing w:after="120" w:line="259" w:lineRule="auto"/>
      </w:pPr>
      <w:r>
        <w:rPr>
          <w:rFonts w:ascii="Arial" w:hAnsi="Arial"/>
          <w:b w:val="0"/>
          <w:color w:val="202B33"/>
          <w:sz w:val="23"/>
        </w:rPr>
        <w:t>Spaced retrieval: revisit one item after 2 lessons and after approximately 1 week. Mix it with the next unit’s prerequisite check; do not announce the operation before students choose a method.</w:t>
      </w:r>
    </w:p>
    <w:p>
      <w:r>
        <w:br w:type="page"/>
      </w:r>
    </w:p>
    <w:p>
      <w:pPr>
        <w:pStyle w:val="Heading1"/>
        <w:keepNext/>
        <w:spacing w:after="120" w:line="259" w:lineRule="auto"/>
      </w:pPr>
      <w:r>
        <w:rPr>
          <w:rFonts w:ascii="Arial" w:hAnsi="Arial"/>
          <w:b/>
          <w:color w:val="202B33"/>
          <w:sz w:val="36"/>
        </w:rPr>
        <w:t>Session 1 · Customary vs. Metric Conversions</w:t>
      </w:r>
    </w:p>
    <w:p>
      <w:pPr>
        <w:spacing w:after="120" w:line="259" w:lineRule="auto"/>
      </w:pPr>
      <w:r>
        <w:rPr>
          <w:rFonts w:ascii="Arial" w:hAnsi="Arial"/>
          <w:b w:val="0"/>
          <w:color w:val="202B33"/>
          <w:sz w:val="23"/>
        </w:rPr>
        <w:t>I can convert a measurement between the customary and metric systems using a given rate. · 6.RP.A.3d</w:t>
      </w:r>
    </w:p>
    <w:p>
      <w:pPr>
        <w:pStyle w:val="Heading2"/>
        <w:keepNext/>
        <w:spacing w:after="120" w:line="259" w:lineRule="auto"/>
      </w:pPr>
      <w:r>
        <w:rPr>
          <w:rFonts w:ascii="Arial" w:hAnsi="Arial"/>
          <w:b/>
          <w:color w:val="202B33"/>
          <w:sz w:val="25"/>
        </w:rPr>
        <w:t>Observe and respond</w:t>
      </w:r>
    </w:p>
    <w:tbl>
      <w:tblPr>
        <w:tblStyle w:val="TableGrid"/>
        <w:tblW w:type="auto" w:w="0"/>
        <w:tblLayout w:type="fixed"/>
        <w:tblLook w:firstColumn="1" w:firstRow="1" w:lastColumn="0" w:lastRow="0" w:noHBand="0" w:noVBand="1" w:val="04A0"/>
      </w:tblPr>
      <w:tblGrid>
        <w:gridCol w:w="3360"/>
        <w:gridCol w:w="3360"/>
        <w:gridCol w:w="3360"/>
      </w:tblGrid>
      <w:tr>
        <w:trPr>
          <w:tblHeader/>
          <w:cantSplit/>
        </w:trPr>
        <w:tc>
          <w:tcPr>
            <w:tcW w:type="dxa" w:w="720"/>
          </w:tcPr>
          <w:p>
            <w:pPr>
              <w:spacing w:after="80" w:line="245" w:lineRule="auto"/>
            </w:pPr>
            <w:r>
              <w:rPr>
                <w:rFonts w:ascii="Arial" w:hAnsi="Arial"/>
                <w:b/>
                <w:color w:val="003A70"/>
                <w:sz w:val="21"/>
              </w:rPr>
              <w:t>Exit item</w:t>
            </w:r>
          </w:p>
        </w:tc>
        <w:tc>
          <w:tcPr>
            <w:tcW w:type="dxa" w:w="4032"/>
          </w:tcPr>
          <w:p>
            <w:pPr>
              <w:spacing w:after="80" w:line="245" w:lineRule="auto"/>
            </w:pPr>
            <w:r>
              <w:rPr>
                <w:rFonts w:ascii="Arial" w:hAnsi="Arial"/>
                <w:b/>
                <w:color w:val="003A70"/>
                <w:sz w:val="21"/>
              </w:rPr>
              <w:t>Expected evidence</w:t>
            </w:r>
          </w:p>
        </w:tc>
        <w:tc>
          <w:tcPr>
            <w:tcW w:type="dxa" w:w="5184"/>
          </w:tcPr>
          <w:p>
            <w:pPr>
              <w:spacing w:after="80" w:line="245" w:lineRule="auto"/>
            </w:pPr>
            <w:r>
              <w:rPr>
                <w:rFonts w:ascii="Arial" w:hAnsi="Arial"/>
                <w:b/>
                <w:color w:val="003A70"/>
                <w:sz w:val="21"/>
              </w:rPr>
              <w:t>Next prompt/model</w:t>
            </w:r>
          </w:p>
        </w:tc>
      </w:tr>
      <w:tr>
        <w:trPr>
          <w:cantSplit/>
        </w:trPr>
        <w:tc>
          <w:tcPr>
            <w:tcW w:type="dxa" w:w="720"/>
          </w:tcPr>
          <w:p>
            <w:pPr>
              <w:spacing w:after="80" w:line="245" w:lineRule="auto"/>
            </w:pPr>
            <w:r>
              <w:rPr>
                <w:rFonts w:ascii="Arial" w:hAnsi="Arial"/>
                <w:b w:val="0"/>
                <w:color w:val="202B33"/>
                <w:sz w:val="21"/>
              </w:rPr>
              <w:t>1</w:t>
            </w:r>
          </w:p>
        </w:tc>
        <w:tc>
          <w:tcPr>
            <w:tcW w:type="dxa" w:w="4032"/>
          </w:tcPr>
          <w:p>
            <w:pPr>
              <w:spacing w:after="80" w:line="245" w:lineRule="auto"/>
            </w:pPr>
            <w:r>
              <w:rPr>
                <w:rFonts w:ascii="Arial" w:hAnsi="Arial"/>
                <w:b w:val="0"/>
                <w:color w:val="202B33"/>
                <w:sz w:val="21"/>
              </w:rPr>
              <w:t>a. 44 lb  b. 10 mi</w:t>
            </w:r>
          </w:p>
        </w:tc>
        <w:tc>
          <w:tcPr>
            <w:tcW w:type="dxa" w:w="5184"/>
          </w:tcPr>
          <w:p>
            <w:pPr>
              <w:spacing w:after="80" w:line="245" w:lineRule="auto"/>
            </w:pPr>
            <w:r>
              <w:rPr>
                <w:rFonts w:ascii="Arial" w:hAnsi="Arial"/>
                <w:b w:val="0"/>
                <w:color w:val="202B33"/>
                <w:sz w:val="21"/>
              </w:rPr>
              <w:t>Build the given equivalent pair and scale it to the target while keeping ≈ visible.</w:t>
            </w:r>
          </w:p>
        </w:tc>
      </w:tr>
      <w:tr>
        <w:trPr>
          <w:cantSplit/>
        </w:trPr>
        <w:tc>
          <w:tcPr>
            <w:tcW w:type="dxa" w:w="720"/>
          </w:tcPr>
          <w:p>
            <w:pPr>
              <w:spacing w:after="80" w:line="245" w:lineRule="auto"/>
            </w:pPr>
            <w:r>
              <w:rPr>
                <w:rFonts w:ascii="Arial" w:hAnsi="Arial"/>
                <w:b w:val="0"/>
                <w:color w:val="202B33"/>
                <w:sz w:val="21"/>
              </w:rPr>
              <w:t>2</w:t>
            </w:r>
          </w:p>
        </w:tc>
        <w:tc>
          <w:tcPr>
            <w:tcW w:type="dxa" w:w="4032"/>
          </w:tcPr>
          <w:p>
            <w:pPr>
              <w:spacing w:after="80" w:line="245" w:lineRule="auto"/>
            </w:pPr>
            <w:r>
              <w:rPr>
                <w:rFonts w:ascii="Arial" w:hAnsi="Arial"/>
                <w:b w:val="0"/>
                <w:color w:val="202B33"/>
                <w:sz w:val="21"/>
              </w:rPr>
              <w:t>6 × 3.28 = 19.68 ft</w:t>
            </w:r>
          </w:p>
        </w:tc>
        <w:tc>
          <w:tcPr>
            <w:tcW w:type="dxa" w:w="5184"/>
          </w:tcPr>
          <w:p>
            <w:pPr>
              <w:spacing w:after="80" w:line="245" w:lineRule="auto"/>
            </w:pPr>
            <w:r>
              <w:rPr>
                <w:rFonts w:ascii="Arial" w:hAnsi="Arial"/>
                <w:b w:val="0"/>
                <w:color w:val="202B33"/>
                <w:sz w:val="21"/>
              </w:rPr>
              <w:t>Build the given equivalent pair and scale it to the target while keeping ≈ visible.</w:t>
            </w:r>
          </w:p>
        </w:tc>
      </w:tr>
      <w:tr>
        <w:trPr>
          <w:cantSplit/>
        </w:trPr>
        <w:tc>
          <w:tcPr>
            <w:tcW w:type="dxa" w:w="720"/>
          </w:tcPr>
          <w:p>
            <w:pPr>
              <w:spacing w:after="80" w:line="245" w:lineRule="auto"/>
            </w:pPr>
            <w:r>
              <w:rPr>
                <w:rFonts w:ascii="Arial" w:hAnsi="Arial"/>
                <w:b w:val="0"/>
                <w:color w:val="202B33"/>
                <w:sz w:val="21"/>
              </w:rPr>
              <w:t>3</w:t>
            </w:r>
          </w:p>
        </w:tc>
        <w:tc>
          <w:tcPr>
            <w:tcW w:type="dxa" w:w="4032"/>
          </w:tcPr>
          <w:p>
            <w:pPr>
              <w:spacing w:after="80" w:line="245" w:lineRule="auto"/>
            </w:pPr>
            <w:r>
              <w:rPr>
                <w:rFonts w:ascii="Arial" w:hAnsi="Arial"/>
                <w:b w:val="0"/>
                <w:color w:val="202B33"/>
                <w:sz w:val="21"/>
              </w:rPr>
              <w:t>A — multiply by 3.28</w:t>
            </w:r>
          </w:p>
        </w:tc>
        <w:tc>
          <w:tcPr>
            <w:tcW w:type="dxa" w:w="5184"/>
          </w:tcPr>
          <w:p>
            <w:pPr>
              <w:spacing w:after="80" w:line="245" w:lineRule="auto"/>
            </w:pPr>
            <w:r>
              <w:rPr>
                <w:rFonts w:ascii="Arial" w:hAnsi="Arial"/>
                <w:b w:val="0"/>
                <w:color w:val="202B33"/>
                <w:sz w:val="21"/>
              </w:rPr>
              <w:t>Ask the learner to show why A — multiply by 3.28 is correct and reject a specific distractor using a model.</w:t>
            </w:r>
          </w:p>
        </w:tc>
      </w:tr>
    </w:tbl>
    <w:p>
      <w:pPr>
        <w:pStyle w:val="Heading2"/>
        <w:keepNext/>
        <w:spacing w:after="120" w:line="259" w:lineRule="auto"/>
      </w:pPr>
      <w:r>
        <w:rPr>
          <w:rFonts w:ascii="Arial" w:hAnsi="Arial"/>
          <w:b/>
          <w:color w:val="202B33"/>
          <w:sz w:val="25"/>
        </w:rPr>
        <w:t>Distinguish the error</w:t>
      </w:r>
    </w:p>
    <w:p>
      <w:pPr>
        <w:spacing w:after="120" w:line="259" w:lineRule="auto"/>
      </w:pPr>
      <w:r>
        <w:rPr>
          <w:rFonts w:ascii="Arial" w:hAnsi="Arial"/>
          <w:b w:val="0"/>
          <w:color w:val="202B33"/>
          <w:sz w:val="23"/>
        </w:rPr>
        <w:t>Conceptual signal: Uses an exact-equality claim for an approximate cross-system factor or multiplies in the wrong direction..</w:t>
      </w:r>
    </w:p>
    <w:p>
      <w:pPr>
        <w:spacing w:after="120" w:line="259" w:lineRule="auto"/>
      </w:pPr>
      <w:r>
        <w:rPr>
          <w:rFonts w:ascii="Arial" w:hAnsi="Arial"/>
          <w:b w:val="0"/>
          <w:color w:val="202B33"/>
          <w:sz w:val="23"/>
        </w:rPr>
        <w:t>Response: Build the given equivalent pair and scale it to the target while keeping ≈ visible.</w:t>
      </w:r>
    </w:p>
    <w:p>
      <w:pPr>
        <w:spacing w:after="120" w:line="259" w:lineRule="auto"/>
      </w:pPr>
      <w:r>
        <w:rPr>
          <w:rFonts w:ascii="Arial" w:hAnsi="Arial"/>
          <w:b w:val="0"/>
          <w:color w:val="202B33"/>
          <w:sz w:val="21"/>
        </w:rPr>
        <w:t>Also check: Dividing when the new unit is smaller (50 mi ÷ 1.6 = 31.25 km).</w:t>
      </w:r>
    </w:p>
    <w:p>
      <w:pPr>
        <w:spacing w:after="120" w:line="259" w:lineRule="auto"/>
      </w:pPr>
      <w:r>
        <w:rPr>
          <w:rFonts w:ascii="Arial" w:hAnsi="Arial"/>
          <w:b w:val="0"/>
          <w:color w:val="202B33"/>
          <w:sz w:val="21"/>
        </w:rPr>
        <w:t>Also check: Comparing amounts in different units, such as 70 m and 160 ft, without converting.</w:t>
      </w:r>
    </w:p>
    <w:p>
      <w:pPr>
        <w:spacing w:after="120" w:line="259" w:lineRule="auto"/>
      </w:pPr>
      <w:r>
        <w:rPr>
          <w:rFonts w:ascii="Arial" w:hAnsi="Arial"/>
          <w:b w:val="0"/>
          <w:color w:val="202B33"/>
          <w:sz w:val="23"/>
        </w:rPr>
        <w:t>If calculation alone is wrong, use Session 1 Prerequisite Practice A for the matching skill, then return to the model. If the interpretation is wrong, label the quantities before reteaching the operation. Independent re-entry requires a correct setup and a connected explanation.</w:t>
      </w:r>
    </w:p>
    <w:p>
      <w:r>
        <w:br w:type="page"/>
      </w:r>
    </w:p>
    <w:p>
      <w:pPr>
        <w:pStyle w:val="Heading1"/>
        <w:keepNext/>
        <w:spacing w:after="120" w:line="259" w:lineRule="auto"/>
      </w:pPr>
      <w:r>
        <w:rPr>
          <w:rFonts w:ascii="Arial" w:hAnsi="Arial"/>
          <w:b/>
          <w:color w:val="202B33"/>
          <w:sz w:val="36"/>
        </w:rPr>
        <w:t>Session 1 · Fresh check and scoring</w:t>
      </w:r>
    </w:p>
    <w:p>
      <w:pPr>
        <w:spacing w:after="120" w:line="259" w:lineRule="auto"/>
      </w:pPr>
      <w:r>
        <w:rPr>
          <w:rFonts w:ascii="Arial" w:hAnsi="Arial"/>
          <w:b w:val="0"/>
          <w:color w:val="202B33"/>
          <w:sz w:val="23"/>
        </w:rPr>
        <w:t>Reserve this check until after revision; it is distinct from the exit ticket. Do not show this teacher page to learners beforehand.</w:t>
      </w:r>
    </w:p>
    <w:p>
      <w:pPr>
        <w:spacing w:after="120" w:line="259" w:lineRule="auto"/>
      </w:pPr>
      <w:r>
        <w:rPr>
          <w:rFonts w:ascii="Arial" w:hAnsi="Arial"/>
          <w:b w:val="0"/>
          <w:color w:val="202B33"/>
          <w:sz w:val="23"/>
        </w:rPr>
        <w:t>Using the same factor, convert 19.8 pounds to kilograms and check.</w:t>
      </w:r>
    </w:p>
    <w:p>
      <w:pPr>
        <w:spacing w:after="120" w:line="259" w:lineRule="auto"/>
      </w:pPr>
      <w:r>
        <w:rPr>
          <w:rFonts w:ascii="Arial" w:hAnsi="Arial"/>
          <w:b w:val="0"/>
          <w:color w:val="202B33"/>
          <w:sz w:val="23"/>
        </w:rPr>
        <w:t>Teacher solution: Approximately 9 kg; 9 × 2.2 = 19.8 lb using the supplied approximation.</w:t>
      </w:r>
    </w:p>
    <w:p>
      <w:pPr>
        <w:pStyle w:val="Heading2"/>
        <w:keepNext/>
        <w:spacing w:after="120" w:line="259" w:lineRule="auto"/>
      </w:pPr>
      <w:r>
        <w:rPr>
          <w:rFonts w:ascii="Arial" w:hAnsi="Arial"/>
          <w:b/>
          <w:color w:val="202B33"/>
          <w:sz w:val="25"/>
        </w:rPr>
        <w:t>Score the evidence</w:t>
      </w:r>
    </w:p>
    <w:tbl>
      <w:tblPr>
        <w:tblStyle w:val="TableGrid"/>
        <w:tblW w:type="auto" w:w="0"/>
        <w:tblLayout w:type="fixed"/>
        <w:tblLook w:firstColumn="1" w:firstRow="1" w:lastColumn="0" w:lastRow="0" w:noHBand="0" w:noVBand="1" w:val="04A0"/>
      </w:tblPr>
      <w:tblGrid>
        <w:gridCol w:w="3360"/>
        <w:gridCol w:w="3360"/>
        <w:gridCol w:w="3360"/>
      </w:tblGrid>
      <w:tr>
        <w:trPr>
          <w:tblHeader/>
          <w:cantSplit/>
        </w:trPr>
        <w:tc>
          <w:tcPr>
            <w:tcW w:type="dxa" w:w="720"/>
          </w:tcPr>
          <w:p>
            <w:pPr>
              <w:spacing w:after="80" w:line="245" w:lineRule="auto"/>
            </w:pPr>
            <w:r>
              <w:rPr>
                <w:rFonts w:ascii="Arial" w:hAnsi="Arial"/>
                <w:b/>
                <w:color w:val="003A70"/>
                <w:sz w:val="21"/>
              </w:rPr>
              <w:t>Score</w:t>
            </w:r>
          </w:p>
        </w:tc>
        <w:tc>
          <w:tcPr>
            <w:tcW w:type="dxa" w:w="4608"/>
          </w:tcPr>
          <w:p>
            <w:pPr>
              <w:spacing w:after="80" w:line="245" w:lineRule="auto"/>
            </w:pPr>
            <w:r>
              <w:rPr>
                <w:rFonts w:ascii="Arial" w:hAnsi="Arial"/>
                <w:b/>
                <w:color w:val="003A70"/>
                <w:sz w:val="21"/>
              </w:rPr>
              <w:t>Evidence</w:t>
            </w:r>
          </w:p>
        </w:tc>
        <w:tc>
          <w:tcPr>
            <w:tcW w:type="dxa" w:w="4608"/>
          </w:tcPr>
          <w:p>
            <w:pPr>
              <w:spacing w:after="80" w:line="245" w:lineRule="auto"/>
            </w:pPr>
            <w:r>
              <w:rPr>
                <w:rFonts w:ascii="Arial" w:hAnsi="Arial"/>
                <w:b/>
                <w:color w:val="003A70"/>
                <w:sz w:val="21"/>
              </w:rPr>
              <w:t>Next action</w:t>
            </w:r>
          </w:p>
        </w:tc>
      </w:tr>
      <w:tr>
        <w:trPr>
          <w:cantSplit/>
        </w:trPr>
        <w:tc>
          <w:tcPr>
            <w:tcW w:type="dxa" w:w="720"/>
          </w:tcPr>
          <w:p>
            <w:pPr>
              <w:spacing w:after="80" w:line="245" w:lineRule="auto"/>
            </w:pPr>
            <w:r>
              <w:rPr>
                <w:rFonts w:ascii="Arial" w:hAnsi="Arial"/>
                <w:b w:val="0"/>
                <w:color w:val="202B33"/>
                <w:sz w:val="21"/>
              </w:rPr>
              <w:t>3</w:t>
            </w:r>
          </w:p>
        </w:tc>
        <w:tc>
          <w:tcPr>
            <w:tcW w:type="dxa" w:w="4608"/>
          </w:tcPr>
          <w:p>
            <w:pPr>
              <w:spacing w:after="80" w:line="245" w:lineRule="auto"/>
            </w:pPr>
            <w:r>
              <w:rPr>
                <w:rFonts w:ascii="Arial" w:hAnsi="Arial"/>
                <w:b w:val="0"/>
                <w:color w:val="202B33"/>
                <w:sz w:val="21"/>
              </w:rPr>
              <w:t>Valid representation, correct result/units, connected explanation.</w:t>
            </w:r>
          </w:p>
        </w:tc>
        <w:tc>
          <w:tcPr>
            <w:tcW w:type="dxa" w:w="4608"/>
          </w:tcPr>
          <w:p>
            <w:pPr>
              <w:spacing w:after="80" w:line="245" w:lineRule="auto"/>
            </w:pPr>
            <w:r>
              <w:rPr>
                <w:rFonts w:ascii="Arial" w:hAnsi="Arial"/>
                <w:b w:val="0"/>
                <w:color w:val="202B33"/>
                <w:sz w:val="21"/>
              </w:rPr>
              <w:t>Continue; fade a support next time.</w:t>
            </w:r>
          </w:p>
        </w:tc>
      </w:tr>
      <w:tr>
        <w:trPr>
          <w:cantSplit/>
        </w:trPr>
        <w:tc>
          <w:tcPr>
            <w:tcW w:type="dxa" w:w="720"/>
          </w:tcPr>
          <w:p>
            <w:pPr>
              <w:spacing w:after="80" w:line="245" w:lineRule="auto"/>
            </w:pPr>
            <w:r>
              <w:rPr>
                <w:rFonts w:ascii="Arial" w:hAnsi="Arial"/>
                <w:b w:val="0"/>
                <w:color w:val="202B33"/>
                <w:sz w:val="21"/>
              </w:rPr>
              <w:t>2</w:t>
            </w:r>
          </w:p>
        </w:tc>
        <w:tc>
          <w:tcPr>
            <w:tcW w:type="dxa" w:w="4608"/>
          </w:tcPr>
          <w:p>
            <w:pPr>
              <w:spacing w:after="80" w:line="245" w:lineRule="auto"/>
            </w:pPr>
            <w:r>
              <w:rPr>
                <w:rFonts w:ascii="Arial" w:hAnsi="Arial"/>
                <w:b w:val="0"/>
                <w:color w:val="202B33"/>
                <w:sz w:val="21"/>
              </w:rPr>
              <w:t>Correct setup and meaning with a calculation/notation slip, or an incomplete explanation.</w:t>
            </w:r>
          </w:p>
        </w:tc>
        <w:tc>
          <w:tcPr>
            <w:tcW w:type="dxa" w:w="4608"/>
          </w:tcPr>
          <w:p>
            <w:pPr>
              <w:spacing w:after="80" w:line="245" w:lineRule="auto"/>
            </w:pPr>
            <w:r>
              <w:rPr>
                <w:rFonts w:ascii="Arial" w:hAnsi="Arial"/>
                <w:b w:val="0"/>
                <w:color w:val="202B33"/>
                <w:sz w:val="21"/>
              </w:rPr>
              <w:t>Brief targeted feedback, then another unseen check.</w:t>
            </w:r>
          </w:p>
        </w:tc>
      </w:tr>
      <w:tr>
        <w:trPr>
          <w:cantSplit/>
        </w:trPr>
        <w:tc>
          <w:tcPr>
            <w:tcW w:type="dxa" w:w="720"/>
          </w:tcPr>
          <w:p>
            <w:pPr>
              <w:spacing w:after="80" w:line="245" w:lineRule="auto"/>
            </w:pPr>
            <w:r>
              <w:rPr>
                <w:rFonts w:ascii="Arial" w:hAnsi="Arial"/>
                <w:b w:val="0"/>
                <w:color w:val="202B33"/>
                <w:sz w:val="21"/>
              </w:rPr>
              <w:t>1</w:t>
            </w:r>
          </w:p>
        </w:tc>
        <w:tc>
          <w:tcPr>
            <w:tcW w:type="dxa" w:w="4608"/>
          </w:tcPr>
          <w:p>
            <w:pPr>
              <w:spacing w:after="80" w:line="245" w:lineRule="auto"/>
            </w:pPr>
            <w:r>
              <w:rPr>
                <w:rFonts w:ascii="Arial" w:hAnsi="Arial"/>
                <w:b w:val="0"/>
                <w:color w:val="202B33"/>
                <w:sz w:val="21"/>
              </w:rPr>
              <w:t>Some relevant facts but a model or interpretation error.</w:t>
            </w:r>
          </w:p>
        </w:tc>
        <w:tc>
          <w:tcPr>
            <w:tcW w:type="dxa" w:w="4608"/>
          </w:tcPr>
          <w:p>
            <w:pPr>
              <w:spacing w:after="80" w:line="245" w:lineRule="auto"/>
            </w:pPr>
            <w:r>
              <w:rPr>
                <w:rFonts w:ascii="Arial" w:hAnsi="Arial"/>
                <w:b w:val="0"/>
                <w:color w:val="202B33"/>
                <w:sz w:val="21"/>
              </w:rPr>
              <w:t>Use the named model and the corresponding prerequisite page.</w:t>
            </w:r>
          </w:p>
        </w:tc>
      </w:tr>
      <w:tr>
        <w:trPr>
          <w:cantSplit/>
        </w:trPr>
        <w:tc>
          <w:tcPr>
            <w:tcW w:type="dxa" w:w="720"/>
          </w:tcPr>
          <w:p>
            <w:pPr>
              <w:spacing w:after="80" w:line="245" w:lineRule="auto"/>
            </w:pPr>
            <w:r>
              <w:rPr>
                <w:rFonts w:ascii="Arial" w:hAnsi="Arial"/>
                <w:b w:val="0"/>
                <w:color w:val="202B33"/>
                <w:sz w:val="21"/>
              </w:rPr>
              <w:t>0</w:t>
            </w:r>
          </w:p>
        </w:tc>
        <w:tc>
          <w:tcPr>
            <w:tcW w:type="dxa" w:w="4608"/>
          </w:tcPr>
          <w:p>
            <w:pPr>
              <w:spacing w:after="80" w:line="245" w:lineRule="auto"/>
            </w:pPr>
            <w:r>
              <w:rPr>
                <w:rFonts w:ascii="Arial" w:hAnsi="Arial"/>
                <w:b w:val="0"/>
                <w:color w:val="202B33"/>
                <w:sz w:val="21"/>
              </w:rPr>
              <w:t>No interpretable evidence yet.</w:t>
            </w:r>
          </w:p>
        </w:tc>
        <w:tc>
          <w:tcPr>
            <w:tcW w:type="dxa" w:w="4608"/>
          </w:tcPr>
          <w:p>
            <w:pPr>
              <w:spacing w:after="80" w:line="245" w:lineRule="auto"/>
            </w:pPr>
            <w:r>
              <w:rPr>
                <w:rFonts w:ascii="Arial" w:hAnsi="Arial"/>
                <w:b w:val="0"/>
                <w:color w:val="202B33"/>
                <w:sz w:val="21"/>
              </w:rPr>
              <w:t>Oral/diagram response to separate access needs from mathematics.</w:t>
            </w:r>
          </w:p>
        </w:tc>
      </w:tr>
    </w:tbl>
    <w:p>
      <w:pPr>
        <w:spacing w:after="120" w:line="259" w:lineRule="auto"/>
      </w:pPr>
      <w:r>
        <w:rPr>
          <w:rFonts w:ascii="Arial" w:hAnsi="Arial"/>
          <w:b w:val="0"/>
          <w:color w:val="202B33"/>
          <w:sz w:val="23"/>
        </w:rPr>
        <w:t>Complete response anchor: 15.4 ÷ 2.2 = 7, so 15.4 lb ≈ 7 kg. A kilogram corresponds to more than one pound, so the numerical measure decreases. Check 7 × 2.2 = 15.4 using the approximate factor.</w:t>
      </w:r>
    </w:p>
    <w:p>
      <w:pPr>
        <w:spacing w:after="120" w:line="259" w:lineRule="auto"/>
      </w:pPr>
      <w:r>
        <w:rPr>
          <w:rFonts w:ascii="Arial" w:hAnsi="Arial"/>
          <w:b w:val="0"/>
          <w:color w:val="202B33"/>
          <w:sz w:val="23"/>
        </w:rPr>
        <w:t>Misconception response anchor: Uses an exact-equality claim for an approximate cross-system factor or multiplies in the wrong direction.. Use build the given equivalent pair and scale it to the target while keeping ≈ visible.</w:t>
      </w:r>
    </w:p>
    <w:p>
      <w:pPr>
        <w:spacing w:after="120" w:line="259" w:lineRule="auto"/>
      </w:pPr>
      <w:r>
        <w:rPr>
          <w:rFonts w:ascii="Arial" w:hAnsi="Arial"/>
          <w:b w:val="0"/>
          <w:color w:val="202B33"/>
          <w:sz w:val="23"/>
        </w:rPr>
        <w:t>Language access: point/draw and label → oral rehearsal → relationship sentence → independent explanation. Offer the support needed for this task and fade it based on evidence. Suggested frame: The mass is approximately ___ because ___; I use ≈ since ___.</w:t>
      </w:r>
    </w:p>
    <w:p>
      <w:r>
        <w:br w:type="page"/>
      </w:r>
    </w:p>
    <w:p>
      <w:pPr>
        <w:pStyle w:val="Heading1"/>
        <w:keepNext/>
        <w:spacing w:after="120" w:line="259" w:lineRule="auto"/>
      </w:pPr>
      <w:r>
        <w:rPr>
          <w:rFonts w:ascii="Arial" w:hAnsi="Arial"/>
          <w:b/>
          <w:color w:val="202B33"/>
          <w:sz w:val="36"/>
        </w:rPr>
        <w:t>Session 2 · Multi-Step System Conversions and Dosage</w:t>
      </w:r>
    </w:p>
    <w:p>
      <w:pPr>
        <w:spacing w:after="120" w:line="259" w:lineRule="auto"/>
      </w:pPr>
      <w:r>
        <w:rPr>
          <w:rFonts w:ascii="Arial" w:hAnsi="Arial"/>
          <w:b w:val="0"/>
          <w:color w:val="202B33"/>
          <w:sz w:val="23"/>
        </w:rPr>
        <w:t>I can solve a multi-step problem that requires converting units before using a rate. · 6.RP.A.3d</w:t>
      </w:r>
    </w:p>
    <w:p>
      <w:pPr>
        <w:pStyle w:val="Heading2"/>
        <w:keepNext/>
        <w:spacing w:after="120" w:line="259" w:lineRule="auto"/>
      </w:pPr>
      <w:r>
        <w:rPr>
          <w:rFonts w:ascii="Arial" w:hAnsi="Arial"/>
          <w:b/>
          <w:color w:val="202B33"/>
          <w:sz w:val="25"/>
        </w:rPr>
        <w:t>Observe and respond</w:t>
      </w:r>
    </w:p>
    <w:tbl>
      <w:tblPr>
        <w:tblStyle w:val="TableGrid"/>
        <w:tblW w:type="auto" w:w="0"/>
        <w:tblLayout w:type="fixed"/>
        <w:tblLook w:firstColumn="1" w:firstRow="1" w:lastColumn="0" w:lastRow="0" w:noHBand="0" w:noVBand="1" w:val="04A0"/>
      </w:tblPr>
      <w:tblGrid>
        <w:gridCol w:w="3360"/>
        <w:gridCol w:w="3360"/>
        <w:gridCol w:w="3360"/>
      </w:tblGrid>
      <w:tr>
        <w:trPr>
          <w:tblHeader/>
          <w:cantSplit/>
        </w:trPr>
        <w:tc>
          <w:tcPr>
            <w:tcW w:type="dxa" w:w="720"/>
          </w:tcPr>
          <w:p>
            <w:pPr>
              <w:spacing w:after="80" w:line="245" w:lineRule="auto"/>
            </w:pPr>
            <w:r>
              <w:rPr>
                <w:rFonts w:ascii="Arial" w:hAnsi="Arial"/>
                <w:b/>
                <w:color w:val="003A70"/>
                <w:sz w:val="21"/>
              </w:rPr>
              <w:t>Exit item</w:t>
            </w:r>
          </w:p>
        </w:tc>
        <w:tc>
          <w:tcPr>
            <w:tcW w:type="dxa" w:w="4032"/>
          </w:tcPr>
          <w:p>
            <w:pPr>
              <w:spacing w:after="80" w:line="245" w:lineRule="auto"/>
            </w:pPr>
            <w:r>
              <w:rPr>
                <w:rFonts w:ascii="Arial" w:hAnsi="Arial"/>
                <w:b/>
                <w:color w:val="003A70"/>
                <w:sz w:val="21"/>
              </w:rPr>
              <w:t>Expected evidence</w:t>
            </w:r>
          </w:p>
        </w:tc>
        <w:tc>
          <w:tcPr>
            <w:tcW w:type="dxa" w:w="5184"/>
          </w:tcPr>
          <w:p>
            <w:pPr>
              <w:spacing w:after="80" w:line="245" w:lineRule="auto"/>
            </w:pPr>
            <w:r>
              <w:rPr>
                <w:rFonts w:ascii="Arial" w:hAnsi="Arial"/>
                <w:b/>
                <w:color w:val="003A70"/>
                <w:sz w:val="21"/>
              </w:rPr>
              <w:t>Next prompt/model</w:t>
            </w:r>
          </w:p>
        </w:tc>
      </w:tr>
      <w:tr>
        <w:trPr>
          <w:cantSplit/>
        </w:trPr>
        <w:tc>
          <w:tcPr>
            <w:tcW w:type="dxa" w:w="720"/>
          </w:tcPr>
          <w:p>
            <w:pPr>
              <w:spacing w:after="80" w:line="245" w:lineRule="auto"/>
            </w:pPr>
            <w:r>
              <w:rPr>
                <w:rFonts w:ascii="Arial" w:hAnsi="Arial"/>
                <w:b w:val="0"/>
                <w:color w:val="202B33"/>
                <w:sz w:val="21"/>
              </w:rPr>
              <w:t>1</w:t>
            </w:r>
          </w:p>
        </w:tc>
        <w:tc>
          <w:tcPr>
            <w:tcW w:type="dxa" w:w="4032"/>
          </w:tcPr>
          <w:p>
            <w:pPr>
              <w:spacing w:after="80" w:line="245" w:lineRule="auto"/>
            </w:pPr>
            <w:r>
              <w:rPr>
                <w:rFonts w:ascii="Arial" w:hAnsi="Arial"/>
                <w:b w:val="0"/>
                <w:color w:val="202B33"/>
                <w:sz w:val="21"/>
              </w:rPr>
              <w:t>a. 25 kg  b. 50 mg</w:t>
            </w:r>
          </w:p>
        </w:tc>
        <w:tc>
          <w:tcPr>
            <w:tcW w:type="dxa" w:w="5184"/>
          </w:tcPr>
          <w:p>
            <w:pPr>
              <w:spacing w:after="80" w:line="245" w:lineRule="auto"/>
            </w:pPr>
            <w:r>
              <w:rPr>
                <w:rFonts w:ascii="Arial" w:hAnsi="Arial"/>
                <w:b w:val="0"/>
                <w:color w:val="202B33"/>
                <w:sz w:val="21"/>
              </w:rPr>
              <w:t>Label the substance as well as the unit at each step, and match each rate's input to the previous output.</w:t>
            </w:r>
          </w:p>
        </w:tc>
      </w:tr>
      <w:tr>
        <w:trPr>
          <w:cantSplit/>
        </w:trPr>
        <w:tc>
          <w:tcPr>
            <w:tcW w:type="dxa" w:w="720"/>
          </w:tcPr>
          <w:p>
            <w:pPr>
              <w:spacing w:after="80" w:line="245" w:lineRule="auto"/>
            </w:pPr>
            <w:r>
              <w:rPr>
                <w:rFonts w:ascii="Arial" w:hAnsi="Arial"/>
                <w:b w:val="0"/>
                <w:color w:val="202B33"/>
                <w:sz w:val="21"/>
              </w:rPr>
              <w:t>2</w:t>
            </w:r>
          </w:p>
        </w:tc>
        <w:tc>
          <w:tcPr>
            <w:tcW w:type="dxa" w:w="4032"/>
          </w:tcPr>
          <w:p>
            <w:pPr>
              <w:spacing w:after="80" w:line="245" w:lineRule="auto"/>
            </w:pPr>
            <w:r>
              <w:rPr>
                <w:rFonts w:ascii="Arial" w:hAnsi="Arial"/>
                <w:b w:val="0"/>
                <w:color w:val="202B33"/>
                <w:sz w:val="21"/>
              </w:rPr>
              <w:t>180 ÷ 12 = 15 L; 15 × $2 = $30</w:t>
            </w:r>
          </w:p>
        </w:tc>
        <w:tc>
          <w:tcPr>
            <w:tcW w:type="dxa" w:w="5184"/>
          </w:tcPr>
          <w:p>
            <w:pPr>
              <w:spacing w:after="80" w:line="245" w:lineRule="auto"/>
            </w:pPr>
            <w:r>
              <w:rPr>
                <w:rFonts w:ascii="Arial" w:hAnsi="Arial"/>
                <w:b w:val="0"/>
                <w:color w:val="202B33"/>
                <w:sz w:val="21"/>
              </w:rPr>
              <w:t>Label the substance as well as the unit at each step, and match each rate's input to the previous output.</w:t>
            </w:r>
          </w:p>
        </w:tc>
      </w:tr>
      <w:tr>
        <w:trPr>
          <w:cantSplit/>
        </w:trPr>
        <w:tc>
          <w:tcPr>
            <w:tcW w:type="dxa" w:w="720"/>
          </w:tcPr>
          <w:p>
            <w:pPr>
              <w:spacing w:after="80" w:line="245" w:lineRule="auto"/>
            </w:pPr>
            <w:r>
              <w:rPr>
                <w:rFonts w:ascii="Arial" w:hAnsi="Arial"/>
                <w:b w:val="0"/>
                <w:color w:val="202B33"/>
                <w:sz w:val="21"/>
              </w:rPr>
              <w:t>3</w:t>
            </w:r>
          </w:p>
        </w:tc>
        <w:tc>
          <w:tcPr>
            <w:tcW w:type="dxa" w:w="4032"/>
          </w:tcPr>
          <w:p>
            <w:pPr>
              <w:spacing w:after="80" w:line="245" w:lineRule="auto"/>
            </w:pPr>
            <w:r>
              <w:rPr>
                <w:rFonts w:ascii="Arial" w:hAnsi="Arial"/>
                <w:b w:val="0"/>
                <w:color w:val="202B33"/>
                <w:sz w:val="21"/>
              </w:rPr>
              <w:t>A — before you use the rate</w:t>
            </w:r>
          </w:p>
        </w:tc>
        <w:tc>
          <w:tcPr>
            <w:tcW w:type="dxa" w:w="5184"/>
          </w:tcPr>
          <w:p>
            <w:pPr>
              <w:spacing w:after="80" w:line="245" w:lineRule="auto"/>
            </w:pPr>
            <w:r>
              <w:rPr>
                <w:rFonts w:ascii="Arial" w:hAnsi="Arial"/>
                <w:b w:val="0"/>
                <w:color w:val="202B33"/>
                <w:sz w:val="21"/>
              </w:rPr>
              <w:t>Ask the learner to show why A — before you use the rate is correct and reject a specific distractor using a model.</w:t>
            </w:r>
          </w:p>
        </w:tc>
      </w:tr>
    </w:tbl>
    <w:p>
      <w:pPr>
        <w:pStyle w:val="Heading2"/>
        <w:keepNext/>
        <w:spacing w:after="120" w:line="259" w:lineRule="auto"/>
      </w:pPr>
      <w:r>
        <w:rPr>
          <w:rFonts w:ascii="Arial" w:hAnsi="Arial"/>
          <w:b/>
          <w:color w:val="202B33"/>
          <w:sz w:val="25"/>
        </w:rPr>
        <w:t>Distinguish the error</w:t>
      </w:r>
    </w:p>
    <w:p>
      <w:pPr>
        <w:spacing w:after="120" w:line="259" w:lineRule="auto"/>
      </w:pPr>
      <w:r>
        <w:rPr>
          <w:rFonts w:ascii="Arial" w:hAnsi="Arial"/>
          <w:b w:val="0"/>
          <w:color w:val="202B33"/>
          <w:sz w:val="23"/>
        </w:rPr>
        <w:t>Conceptual signal: Uses the rate before converting its reference quantity or confuses grams of pigment with grams of clay..</w:t>
      </w:r>
    </w:p>
    <w:p>
      <w:pPr>
        <w:spacing w:after="120" w:line="259" w:lineRule="auto"/>
      </w:pPr>
      <w:r>
        <w:rPr>
          <w:rFonts w:ascii="Arial" w:hAnsi="Arial"/>
          <w:b w:val="0"/>
          <w:color w:val="202B33"/>
          <w:sz w:val="23"/>
        </w:rPr>
        <w:t>Response: Label the substance as well as the unit at each step, and match each rate's input to the previous output.</w:t>
      </w:r>
    </w:p>
    <w:p>
      <w:pPr>
        <w:spacing w:after="120" w:line="259" w:lineRule="auto"/>
      </w:pPr>
      <w:r>
        <w:rPr>
          <w:rFonts w:ascii="Arial" w:hAnsi="Arial"/>
          <w:b w:val="0"/>
          <w:color w:val="202B33"/>
          <w:sz w:val="21"/>
        </w:rPr>
        <w:t>Also check: Using pounds with a per-kilogram rate (66 lb × 4 mg instead of 30 kg × 4 mg).</w:t>
      </w:r>
    </w:p>
    <w:p>
      <w:pPr>
        <w:spacing w:after="120" w:line="259" w:lineRule="auto"/>
      </w:pPr>
      <w:r>
        <w:rPr>
          <w:rFonts w:ascii="Arial" w:hAnsi="Arial"/>
          <w:b w:val="0"/>
          <w:color w:val="202B33"/>
          <w:sz w:val="21"/>
        </w:rPr>
        <w:t>Also check: Multiplying by 2.2 to change pounds to kilograms.</w:t>
      </w:r>
    </w:p>
    <w:p>
      <w:pPr>
        <w:spacing w:after="120" w:line="259" w:lineRule="auto"/>
      </w:pPr>
      <w:r>
        <w:rPr>
          <w:rFonts w:ascii="Arial" w:hAnsi="Arial"/>
          <w:b w:val="0"/>
          <w:color w:val="202B33"/>
          <w:sz w:val="23"/>
        </w:rPr>
        <w:t>If calculation alone is wrong, use Session 2 Prerequisite Practice A for the matching skill, then return to the model. If the interpretation is wrong, label the quantities before reteaching the operation. Independent re-entry requires a correct setup and a connected explanation.</w:t>
      </w:r>
    </w:p>
    <w:p>
      <w:r>
        <w:br w:type="page"/>
      </w:r>
    </w:p>
    <w:p>
      <w:pPr>
        <w:pStyle w:val="Heading1"/>
        <w:keepNext/>
        <w:spacing w:after="120" w:line="259" w:lineRule="auto"/>
      </w:pPr>
      <w:r>
        <w:rPr>
          <w:rFonts w:ascii="Arial" w:hAnsi="Arial"/>
          <w:b/>
          <w:color w:val="202B33"/>
          <w:sz w:val="36"/>
        </w:rPr>
        <w:t>Session 2 · Fresh check and scoring</w:t>
      </w:r>
    </w:p>
    <w:p>
      <w:pPr>
        <w:spacing w:after="120" w:line="259" w:lineRule="auto"/>
      </w:pPr>
      <w:r>
        <w:rPr>
          <w:rFonts w:ascii="Arial" w:hAnsi="Arial"/>
          <w:b w:val="0"/>
          <w:color w:val="202B33"/>
          <w:sz w:val="23"/>
        </w:rPr>
        <w:t>Reserve this check until after revision; it is distinct from the exit ticket. Do not show this teacher page to learners beforehand.</w:t>
      </w:r>
    </w:p>
    <w:p>
      <w:pPr>
        <w:spacing w:after="120" w:line="259" w:lineRule="auto"/>
      </w:pPr>
      <w:r>
        <w:rPr>
          <w:rFonts w:ascii="Arial" w:hAnsi="Arial"/>
          <w:b w:val="0"/>
          <w:color w:val="202B33"/>
          <w:sz w:val="23"/>
        </w:rPr>
        <w:t>There are 17.6 lb of clay, 2 g pigment per kg, and 4 g per scoop. Using 1 kg ≈ 2.2 lb, find scoops.</w:t>
      </w:r>
    </w:p>
    <w:p>
      <w:pPr>
        <w:spacing w:after="120" w:line="259" w:lineRule="auto"/>
      </w:pPr>
      <w:r>
        <w:rPr>
          <w:rFonts w:ascii="Arial" w:hAnsi="Arial"/>
          <w:b w:val="0"/>
          <w:color w:val="202B33"/>
          <w:sz w:val="23"/>
        </w:rPr>
        <w:t>Teacher solution: 17.6 ÷ 2.2 = 8 kg; 8 × 2 = 16 g; 16 ÷ 4 = 4 scoops, approximately.</w:t>
      </w:r>
    </w:p>
    <w:p>
      <w:pPr>
        <w:pStyle w:val="Heading2"/>
        <w:keepNext/>
        <w:spacing w:after="120" w:line="259" w:lineRule="auto"/>
      </w:pPr>
      <w:r>
        <w:rPr>
          <w:rFonts w:ascii="Arial" w:hAnsi="Arial"/>
          <w:b/>
          <w:color w:val="202B33"/>
          <w:sz w:val="25"/>
        </w:rPr>
        <w:t>Score the evidence</w:t>
      </w:r>
    </w:p>
    <w:tbl>
      <w:tblPr>
        <w:tblStyle w:val="TableGrid"/>
        <w:tblW w:type="auto" w:w="0"/>
        <w:tblLayout w:type="fixed"/>
        <w:tblLook w:firstColumn="1" w:firstRow="1" w:lastColumn="0" w:lastRow="0" w:noHBand="0" w:noVBand="1" w:val="04A0"/>
      </w:tblPr>
      <w:tblGrid>
        <w:gridCol w:w="3360"/>
        <w:gridCol w:w="3360"/>
        <w:gridCol w:w="3360"/>
      </w:tblGrid>
      <w:tr>
        <w:trPr>
          <w:tblHeader/>
          <w:cantSplit/>
        </w:trPr>
        <w:tc>
          <w:tcPr>
            <w:tcW w:type="dxa" w:w="720"/>
          </w:tcPr>
          <w:p>
            <w:pPr>
              <w:spacing w:after="80" w:line="245" w:lineRule="auto"/>
            </w:pPr>
            <w:r>
              <w:rPr>
                <w:rFonts w:ascii="Arial" w:hAnsi="Arial"/>
                <w:b/>
                <w:color w:val="003A70"/>
                <w:sz w:val="21"/>
              </w:rPr>
              <w:t>Score</w:t>
            </w:r>
          </w:p>
        </w:tc>
        <w:tc>
          <w:tcPr>
            <w:tcW w:type="dxa" w:w="4608"/>
          </w:tcPr>
          <w:p>
            <w:pPr>
              <w:spacing w:after="80" w:line="245" w:lineRule="auto"/>
            </w:pPr>
            <w:r>
              <w:rPr>
                <w:rFonts w:ascii="Arial" w:hAnsi="Arial"/>
                <w:b/>
                <w:color w:val="003A70"/>
                <w:sz w:val="21"/>
              </w:rPr>
              <w:t>Evidence</w:t>
            </w:r>
          </w:p>
        </w:tc>
        <w:tc>
          <w:tcPr>
            <w:tcW w:type="dxa" w:w="4608"/>
          </w:tcPr>
          <w:p>
            <w:pPr>
              <w:spacing w:after="80" w:line="245" w:lineRule="auto"/>
            </w:pPr>
            <w:r>
              <w:rPr>
                <w:rFonts w:ascii="Arial" w:hAnsi="Arial"/>
                <w:b/>
                <w:color w:val="003A70"/>
                <w:sz w:val="21"/>
              </w:rPr>
              <w:t>Next action</w:t>
            </w:r>
          </w:p>
        </w:tc>
      </w:tr>
      <w:tr>
        <w:trPr>
          <w:cantSplit/>
        </w:trPr>
        <w:tc>
          <w:tcPr>
            <w:tcW w:type="dxa" w:w="720"/>
          </w:tcPr>
          <w:p>
            <w:pPr>
              <w:spacing w:after="80" w:line="245" w:lineRule="auto"/>
            </w:pPr>
            <w:r>
              <w:rPr>
                <w:rFonts w:ascii="Arial" w:hAnsi="Arial"/>
                <w:b w:val="0"/>
                <w:color w:val="202B33"/>
                <w:sz w:val="21"/>
              </w:rPr>
              <w:t>3</w:t>
            </w:r>
          </w:p>
        </w:tc>
        <w:tc>
          <w:tcPr>
            <w:tcW w:type="dxa" w:w="4608"/>
          </w:tcPr>
          <w:p>
            <w:pPr>
              <w:spacing w:after="80" w:line="245" w:lineRule="auto"/>
            </w:pPr>
            <w:r>
              <w:rPr>
                <w:rFonts w:ascii="Arial" w:hAnsi="Arial"/>
                <w:b w:val="0"/>
                <w:color w:val="202B33"/>
                <w:sz w:val="21"/>
              </w:rPr>
              <w:t>Valid representation, correct result/units, connected explanation.</w:t>
            </w:r>
          </w:p>
        </w:tc>
        <w:tc>
          <w:tcPr>
            <w:tcW w:type="dxa" w:w="4608"/>
          </w:tcPr>
          <w:p>
            <w:pPr>
              <w:spacing w:after="80" w:line="245" w:lineRule="auto"/>
            </w:pPr>
            <w:r>
              <w:rPr>
                <w:rFonts w:ascii="Arial" w:hAnsi="Arial"/>
                <w:b w:val="0"/>
                <w:color w:val="202B33"/>
                <w:sz w:val="21"/>
              </w:rPr>
              <w:t>Continue; fade a support next time.</w:t>
            </w:r>
          </w:p>
        </w:tc>
      </w:tr>
      <w:tr>
        <w:trPr>
          <w:cantSplit/>
        </w:trPr>
        <w:tc>
          <w:tcPr>
            <w:tcW w:type="dxa" w:w="720"/>
          </w:tcPr>
          <w:p>
            <w:pPr>
              <w:spacing w:after="80" w:line="245" w:lineRule="auto"/>
            </w:pPr>
            <w:r>
              <w:rPr>
                <w:rFonts w:ascii="Arial" w:hAnsi="Arial"/>
                <w:b w:val="0"/>
                <w:color w:val="202B33"/>
                <w:sz w:val="21"/>
              </w:rPr>
              <w:t>2</w:t>
            </w:r>
          </w:p>
        </w:tc>
        <w:tc>
          <w:tcPr>
            <w:tcW w:type="dxa" w:w="4608"/>
          </w:tcPr>
          <w:p>
            <w:pPr>
              <w:spacing w:after="80" w:line="245" w:lineRule="auto"/>
            </w:pPr>
            <w:r>
              <w:rPr>
                <w:rFonts w:ascii="Arial" w:hAnsi="Arial"/>
                <w:b w:val="0"/>
                <w:color w:val="202B33"/>
                <w:sz w:val="21"/>
              </w:rPr>
              <w:t>Correct setup and meaning with a calculation/notation slip, or an incomplete explanation.</w:t>
            </w:r>
          </w:p>
        </w:tc>
        <w:tc>
          <w:tcPr>
            <w:tcW w:type="dxa" w:w="4608"/>
          </w:tcPr>
          <w:p>
            <w:pPr>
              <w:spacing w:after="80" w:line="245" w:lineRule="auto"/>
            </w:pPr>
            <w:r>
              <w:rPr>
                <w:rFonts w:ascii="Arial" w:hAnsi="Arial"/>
                <w:b w:val="0"/>
                <w:color w:val="202B33"/>
                <w:sz w:val="21"/>
              </w:rPr>
              <w:t>Brief targeted feedback, then another unseen check.</w:t>
            </w:r>
          </w:p>
        </w:tc>
      </w:tr>
      <w:tr>
        <w:trPr>
          <w:cantSplit/>
        </w:trPr>
        <w:tc>
          <w:tcPr>
            <w:tcW w:type="dxa" w:w="720"/>
          </w:tcPr>
          <w:p>
            <w:pPr>
              <w:spacing w:after="80" w:line="245" w:lineRule="auto"/>
            </w:pPr>
            <w:r>
              <w:rPr>
                <w:rFonts w:ascii="Arial" w:hAnsi="Arial"/>
                <w:b w:val="0"/>
                <w:color w:val="202B33"/>
                <w:sz w:val="21"/>
              </w:rPr>
              <w:t>1</w:t>
            </w:r>
          </w:p>
        </w:tc>
        <w:tc>
          <w:tcPr>
            <w:tcW w:type="dxa" w:w="4608"/>
          </w:tcPr>
          <w:p>
            <w:pPr>
              <w:spacing w:after="80" w:line="245" w:lineRule="auto"/>
            </w:pPr>
            <w:r>
              <w:rPr>
                <w:rFonts w:ascii="Arial" w:hAnsi="Arial"/>
                <w:b w:val="0"/>
                <w:color w:val="202B33"/>
                <w:sz w:val="21"/>
              </w:rPr>
              <w:t>Some relevant facts but a model or interpretation error.</w:t>
            </w:r>
          </w:p>
        </w:tc>
        <w:tc>
          <w:tcPr>
            <w:tcW w:type="dxa" w:w="4608"/>
          </w:tcPr>
          <w:p>
            <w:pPr>
              <w:spacing w:after="80" w:line="245" w:lineRule="auto"/>
            </w:pPr>
            <w:r>
              <w:rPr>
                <w:rFonts w:ascii="Arial" w:hAnsi="Arial"/>
                <w:b w:val="0"/>
                <w:color w:val="202B33"/>
                <w:sz w:val="21"/>
              </w:rPr>
              <w:t>Use the named model and the corresponding prerequisite page.</w:t>
            </w:r>
          </w:p>
        </w:tc>
      </w:tr>
      <w:tr>
        <w:trPr>
          <w:cantSplit/>
        </w:trPr>
        <w:tc>
          <w:tcPr>
            <w:tcW w:type="dxa" w:w="720"/>
          </w:tcPr>
          <w:p>
            <w:pPr>
              <w:spacing w:after="80" w:line="245" w:lineRule="auto"/>
            </w:pPr>
            <w:r>
              <w:rPr>
                <w:rFonts w:ascii="Arial" w:hAnsi="Arial"/>
                <w:b w:val="0"/>
                <w:color w:val="202B33"/>
                <w:sz w:val="21"/>
              </w:rPr>
              <w:t>0</w:t>
            </w:r>
          </w:p>
        </w:tc>
        <w:tc>
          <w:tcPr>
            <w:tcW w:type="dxa" w:w="4608"/>
          </w:tcPr>
          <w:p>
            <w:pPr>
              <w:spacing w:after="80" w:line="245" w:lineRule="auto"/>
            </w:pPr>
            <w:r>
              <w:rPr>
                <w:rFonts w:ascii="Arial" w:hAnsi="Arial"/>
                <w:b w:val="0"/>
                <w:color w:val="202B33"/>
                <w:sz w:val="21"/>
              </w:rPr>
              <w:t>No interpretable evidence yet.</w:t>
            </w:r>
          </w:p>
        </w:tc>
        <w:tc>
          <w:tcPr>
            <w:tcW w:type="dxa" w:w="4608"/>
          </w:tcPr>
          <w:p>
            <w:pPr>
              <w:spacing w:after="80" w:line="245" w:lineRule="auto"/>
            </w:pPr>
            <w:r>
              <w:rPr>
                <w:rFonts w:ascii="Arial" w:hAnsi="Arial"/>
                <w:b w:val="0"/>
                <w:color w:val="202B33"/>
                <w:sz w:val="21"/>
              </w:rPr>
              <w:t>Oral/diagram response to separate access needs from mathematics.</w:t>
            </w:r>
          </w:p>
        </w:tc>
      </w:tr>
    </w:tbl>
    <w:p>
      <w:pPr>
        <w:spacing w:after="120" w:line="259" w:lineRule="auto"/>
      </w:pPr>
      <w:r>
        <w:rPr>
          <w:rFonts w:ascii="Arial" w:hAnsi="Arial"/>
          <w:b w:val="0"/>
          <w:color w:val="202B33"/>
          <w:sz w:val="23"/>
        </w:rPr>
        <w:t>Complete response anchor: 11 lb ≈ 5 kg; 5 × 3 = 15 g pigment; 15 ÷ 5 = 3 scoops. The unit path is pounds → kilograms → grams pigment → scoops. The result is approximate because the conversion factor is approximate.</w:t>
      </w:r>
    </w:p>
    <w:p>
      <w:pPr>
        <w:spacing w:after="120" w:line="259" w:lineRule="auto"/>
      </w:pPr>
      <w:r>
        <w:rPr>
          <w:rFonts w:ascii="Arial" w:hAnsi="Arial"/>
          <w:b w:val="0"/>
          <w:color w:val="202B33"/>
          <w:sz w:val="23"/>
        </w:rPr>
        <w:t>Misconception response anchor: Uses the rate before converting its reference quantity or confuses grams of pigment with grams of clay.. Use label the substance as well as the unit at each step, and match each rate's input to the previous output.</w:t>
      </w:r>
    </w:p>
    <w:p>
      <w:pPr>
        <w:spacing w:after="120" w:line="259" w:lineRule="auto"/>
      </w:pPr>
      <w:r>
        <w:rPr>
          <w:rFonts w:ascii="Arial" w:hAnsi="Arial"/>
          <w:b w:val="0"/>
          <w:color w:val="202B33"/>
          <w:sz w:val="23"/>
        </w:rPr>
        <w:t>Language access: point/draw and label → oral rehearsal → relationship sentence → independent explanation. Offer the support needed for this task and fade it based on evidence. Suggested frame: I first convert ___ to ___ so that the rate ___ can be applied. Then ___.</w:t>
      </w:r>
    </w:p>
    <w:sectPr w:rsidR="00FC693F" w:rsidRPr="0006063C" w:rsidSect="00034616">
      <w:headerReference w:type="default" r:id="rId9"/>
      <w:footerReference w:type="default" r:id="rId10"/>
      <w:pgSz w:w="12240" w:h="15840"/>
      <w:pgMar w:top="893" w:right="1080" w:bottom="893"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Arial" w:hAnsi="Arial"/>
        <w:b w:val="0"/>
        <w:color w:val="202B33"/>
        <w:sz w:val="16"/>
      </w:rPr>
      <w:t xml:space="preserve">October 2026 · Lesson 3.7 Teaching Support Guide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b/>
        <w:color w:val="003A70"/>
        <w:sz w:val="17"/>
      </w:rPr>
      <w:t>GRADE 6 MATHEMATICS  |  TEACHER USE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202B33"/>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202B33"/>
      <w:sz w:val="23"/>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02B33"/>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202B33"/>
      <w:spacing w:val="5"/>
      <w:kern w:val="28"/>
      <w:sz w:val="23"/>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3.7 Teaching Support Guide</dc:title>
  <dc:subject>Teacher use</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language>en-US</dc:language>
</cp:coreProperties>
</file>