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5.6 Compare and Explain Nets Teacher Key</w:t>
      </w:r>
    </w:p>
    <w:p>
      <w:r>
        <w:t>Teacher use</w:t>
      </w:r>
    </w:p>
    <w:p>
      <w:r>
        <w:t>A folds into a cube. Its middle column provides four faces around the cube; the two side squares close opposite ends. B does not: a straight row folds around the same belt, leaving ends open and causing repeated or overlapping face positions.</w:t>
      </w:r>
    </w:p>
    <w:p>
      <w:r>
        <w:t>Each face has area 2 × 2 = 4 cm²; total surface area is 6 × 4 = 24 cm². Both flat drawings have area 24 cm², but area alone does not establish whether faces meet without gaps or overlap.</w:t>
      </w:r>
    </w:p>
    <w:p>
      <w:pPr>
        <w:pStyle w:val="Heading1"/>
      </w:pPr>
      <w:r>
        <w:t>Evidence to listen for</w:t>
      </w:r>
    </w:p>
    <w:p>
      <w:r>
        <w:t>Ask students to identify a particular overlapping or missing face. If they only count six squares, have them track the faces while folding. A student who predicts incorrectly but revises with accurate fold evidence has met the reasoning goal.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 xml:space="preserve">5.6 Compare and Explain Nets Teacher Key · Page </w:t>
    </w:r>
    <w:fldSimple w:instr="PAGE"/>
    <w:r>
      <w:rPr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venir Next" w:hAnsi="Avenir Next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202B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venir Next" w:hAnsi="Avenir Next"/>
      <w:b/>
      <w:bCs/>
      <w:color w:val="202B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venir Next" w:hAnsi="Avenir Next"/>
      <w:color w:val="202B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