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9.2 Connect a Table, Graph and Equation</w:t>
      </w:r>
    </w:p>
    <w:p>
      <w:r>
        <w:t>Student activity · each notebook costs $4; there is no other charge</w:t>
      </w:r>
    </w:p>
    <w:p>
      <w:pPr>
        <w:pStyle w:val="Heading1"/>
      </w:pPr>
      <w:r>
        <w:t>Complete the table, then plot the ordered pairs.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/>
          <w:cantSplit/>
        </w:trPr>
        <w:tc>
          <w:tcPr>
            <w:tcW w:type="dxa" w:w="1461"/>
          </w:tcPr>
          <w:p>
            <w:pPr>
              <w:spacing w:after="60"/>
            </w:pPr>
            <w:r>
              <w:t>Notebooks x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0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after="60"/>
            </w:pPr>
            <w:r>
              <w:t>Cost y ($)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0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1461"/>
          </w:tcPr>
          <w:p>
            <w:pPr>
              <w:spacing w:after="60"/>
            </w:pPr>
            <w:r>
              <w:t>_____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77840" cy="3997452"/>
            <wp:docPr id="1" name="Picture 1" descr="Blank first-quadrant graph: horizontal axis number of notebooks from 0 to 6 in steps of 1; vertical axis cost in dollars from 0 to 24 in steps of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2-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9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Write an equation: ____________. Explain how the rule appears in the table and graph. Is (2.5, 10) a possible purchase in this situation? Why?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9.2 Connect a Table, Graph and Equation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