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9.2 Connect a Table, Graph and Equation Teacher Key</w:t>
      </w:r>
    </w:p>
    <w:p>
      <w:r>
        <w:t>Teacher use</w:t>
      </w:r>
    </w:p>
    <w:p>
      <w:r>
        <w:t>Costs: 0, 4, 8, 12, 16, 20. Plot (0,0), (1,4), (2,8), (3,12), (4,16), (5,20). Equation: y = 4x. Each increase of 1 notebook increases cost by $4; the plotted points rise 4 for a run of 1.</w:t>
      </w:r>
    </w:p>
    <w:p>
      <w:r>
        <w:t>The ordered pair (2.5,10) satisfies the equation, but buying half of a notebook is not allowed in this context. Show discrete points for whole-number purchases; a continuous line would include impossible purchases.</w:t>
      </w:r>
    </w:p>
    <w:p>
      <w:pPr>
        <w:pStyle w:val="Heading1"/>
      </w:pPr>
      <w:r>
        <w:t>Feedback and retry</w:t>
      </w:r>
    </w:p>
    <w:p>
      <w:r>
        <w:t>If axes are reversed, ask which quantity is chosen and which depends on it. If students count each vertical square as $1, revisit the labels. Fresh check: 6 notebooks cost $24; locate (6,24).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 xml:space="preserve">9.2 Connect a Table, Graph and Equation Teacher Key · Page </w:t>
    </w:r>
    <w:fldSimple w:instr="PAGE"/>
    <w:r>
      <w:rPr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venir Next" w:hAnsi="Avenir Next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venir Next" w:hAnsi="Avenir Next"/>
      <w:b/>
      <w:bCs/>
      <w:color w:val="202B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venir Next" w:hAnsi="Avenir Next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venir Next" w:hAnsi="Avenir Next"/>
      <w:b/>
      <w:bCs/>
      <w:color w:val="202B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venir Next" w:hAnsi="Avenir Next"/>
      <w:color w:val="202B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