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1-1-flagship  •  Standard 6.NS.4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80" w:before="0"/>
      </w:pPr>
      <w:r>
        <w:t xml:space="preserve">     17 has exactly two factors: 1 and 17. 15 = 3 × 5, 21 = 3 × 7, and 9 = 3 × 3, so they are all composite.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80" w:before="0"/>
      </w:pPr>
      <w:r>
        <w:t xml:space="preserve">     30 = 2 × 15 = 2 × 3 × 5. All three factors (2, 3, 5) are prime, so 2 × 3 × 5 is the prime factorization.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8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1c0d8521318f8a29e35c213a910b3933333b64.png"/><Relationship Id="rId8" Type="http://schemas.openxmlformats.org/officeDocument/2006/relationships/image" Target="media/676e5f93ceff411e9e2db49fc5005400ce8b056b.png"/><Relationship Id="rId9" Type="http://schemas.openxmlformats.org/officeDocument/2006/relationships/image" Target="media/cfb7ed5be1f6f5398e187abb2403b69d689d3218.png"/><Relationship Id="rId10" Type="http://schemas.openxmlformats.org/officeDocument/2006/relationships/image" Target="media/510d71301ffb4ba3d0eee5b08c72789eda8126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2026-06-01T23:32:30.418Z</dcterms:created>
  <dcterms:modified xsi:type="dcterms:W3CDTF">2026-06-01T23:32:30.418Z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