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histogram that is tallest in the middle and shorter on both sides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Histogram      •      Frequency      •      Interval      •      Distribution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bar graph that shows how often data falls into equal intervals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many data values fall in an interval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equal-sized range of values used to group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overall pattern of how data is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C)  Bar graphs show numbers and histograms show words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data values fall between 20 and 29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interval is 7 wide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60–63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Histogram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Frequency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Interval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frequency (count) of data in that interval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Histogram bars touch (no gaps) because the intervals are continuous ranges</w:t>
      </w:r>
      <w:r>
        <w:rPr>
          <w:i/>
          <w:iCs/>
          <w:color w:val="5F6F80"/>
          <w:sz w:val="19"/>
          <w:szCs w:val="19"/>
        </w:rPr>
        <w:t xml:space="preserve">  — In a histogram, bars touch because each interval connects to the next (0–9, 10–19, etc.) — the data is continuous.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 data values fall between 20 and 29</w:t>
      </w:r>
      <w:r>
        <w:rPr>
          <w:i/>
          <w:iCs/>
          <w:color w:val="5F6F80"/>
          <w:sz w:val="19"/>
          <w:szCs w:val="19"/>
        </w:rPr>
        <w:t xml:space="preserve">  — A bar's height is the frequency — here, 7 values land in the 20–29 interval.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0cf7e4b51b10c44f091431bffd8679af16f389d9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2026-06-15T16:06:24.708Z</dcterms:created>
  <dcterms:modified xsi:type="dcterms:W3CDTF">2026-06-15T16:06:24.708Z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