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triangle has base 10 cm and height 6 cm.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triangle has area 24 m² and base 8 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m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cm²</w:t>
      </w:r>
      <w:r>
        <w:rPr>
          <w:i/>
          <w:iCs/>
          <w:color w:val="5F6F80"/>
          <w:sz w:val="19"/>
          <w:szCs w:val="19"/>
        </w:rPr>
        <w:t xml:space="preserve">  — Area = ½ × base × height = ½ × 10 × 6 = 30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 m</w:t>
      </w:r>
      <w:r>
        <w:rPr>
          <w:i/>
          <w:iCs/>
          <w:color w:val="5F6F80"/>
          <w:sz w:val="19"/>
          <w:szCs w:val="19"/>
        </w:rPr>
        <w:t xml:space="preserve">  — 24 = ½ × 8 × h = 4h, so h = 6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2026-06-04T09:52:14.347Z</dcterms:created>
  <dcterms:modified xsi:type="dcterms:W3CDTF">2026-06-04T09:52:14.347Z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