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argument — </w:t>
      </w:r>
      <w:r>
        <w:rPr>
          <w:sz w:val="20"/>
          <w:szCs w:val="20"/>
        </w:rPr>
        <w:t xml:space="preserve">A chain of reasons — equations, drawings, or words — used to defend your thinking.</w:t>
      </w:r>
      <w:r>
        <w:rPr>
          <w:i/>
          <w:iCs/>
          <w:color w:val="5F6F80"/>
          <w:sz w:val="18"/>
          <w:szCs w:val="18"/>
        </w:rPr>
        <w:br/>
        <w:t xml:space="preserve">argumento — Una cadena de razones — ecuaciones, dibujos o palabras — que usas para defender tu pensamiento.</w:t>
      </w:r>
    </w:p>
    <w:p>
      <w:pPr>
        <w:spacing w:after="60"/>
      </w:pPr>
      <w:r>
        <w:rPr>
          <w:b/>
          <w:bCs/>
          <w:color w:val="1FA6A2"/>
          <w:sz w:val="22"/>
          <w:szCs w:val="22"/>
        </w:rPr>
        <w:t xml:space="preserve">☐  </w:t>
      </w:r>
      <w:r>
        <w:rPr>
          <w:b/>
          <w:bCs/>
          <w:color w:val="12355B"/>
          <w:sz w:val="20"/>
          <w:szCs w:val="20"/>
        </w:rPr>
        <w:t xml:space="preserve">conjecture — </w:t>
      </w:r>
      <w:r>
        <w:rPr>
          <w:sz w:val="20"/>
          <w:szCs w:val="20"/>
        </w:rPr>
        <w:t xml:space="preserve">A mathematical statement you believe is true but have not yet proven.</w:t>
      </w:r>
      <w:r>
        <w:rPr>
          <w:i/>
          <w:iCs/>
          <w:color w:val="5F6F80"/>
          <w:sz w:val="18"/>
          <w:szCs w:val="18"/>
        </w:rPr>
        <w:br/>
        <w:t xml:space="preserve">conjetura — Una afirmación matemática que crees verdadera pero que aún no has probado.</w:t>
      </w:r>
    </w:p>
    <w:p>
      <w:pPr>
        <w:spacing w:after="60"/>
      </w:pPr>
      <w:r>
        <w:rPr>
          <w:b/>
          <w:bCs/>
          <w:color w:val="1FA6A2"/>
          <w:sz w:val="22"/>
          <w:szCs w:val="22"/>
        </w:rPr>
        <w:t xml:space="preserve">☐  </w:t>
      </w:r>
      <w:r>
        <w:rPr>
          <w:b/>
          <w:bCs/>
          <w:color w:val="12355B"/>
          <w:sz w:val="20"/>
          <w:szCs w:val="20"/>
        </w:rPr>
        <w:t xml:space="preserve">counterexample — </w:t>
      </w:r>
      <w:r>
        <w:rPr>
          <w:sz w:val="20"/>
          <w:szCs w:val="20"/>
        </w:rPr>
        <w:t xml:space="preserve">A single example that shows a statement is not always true.</w:t>
      </w:r>
      <w:r>
        <w:rPr>
          <w:i/>
          <w:iCs/>
          <w:color w:val="5F6F80"/>
          <w:sz w:val="18"/>
          <w:szCs w:val="18"/>
        </w:rPr>
        <w:br/>
        <w:t xml:space="preserve">contraejemplo — Un solo ejemplo que muestra que una afirmación no siempre es verdadera.</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The amount of space a solid figure takes up, measured in cubic units.</w:t>
      </w:r>
      <w:r>
        <w:rPr>
          <w:i/>
          <w:iCs/>
          <w:color w:val="5F6F80"/>
          <w:sz w:val="18"/>
          <w:szCs w:val="18"/>
        </w:rPr>
        <w:br/>
        <w:t xml:space="preserve">volumen — La cantidad de espacio que ocupa una figura sólida, medida en unidades cúbicas.</w:t>
      </w:r>
    </w:p>
    <w:p>
      <w:pPr>
        <w:spacing w:after="60"/>
      </w:pPr>
      <w:r>
        <w:rPr>
          <w:b/>
          <w:bCs/>
          <w:color w:val="1FA6A2"/>
          <w:sz w:val="22"/>
          <w:szCs w:val="22"/>
        </w:rPr>
        <w:t xml:space="preserve">☐  </w:t>
      </w:r>
      <w:r>
        <w:rPr>
          <w:b/>
          <w:bCs/>
          <w:color w:val="12355B"/>
          <w:sz w:val="20"/>
          <w:szCs w:val="20"/>
        </w:rPr>
        <w:t xml:space="preserve">cubic unit — </w:t>
      </w:r>
      <w:r>
        <w:rPr>
          <w:sz w:val="20"/>
          <w:szCs w:val="20"/>
        </w:rPr>
        <w:t xml:space="preserve">A cube with edges 1 unit long — the unit used to measure volume.</w:t>
      </w:r>
      <w:r>
        <w:rPr>
          <w:i/>
          <w:iCs/>
          <w:color w:val="5F6F80"/>
          <w:sz w:val="18"/>
          <w:szCs w:val="18"/>
        </w:rPr>
        <w:br/>
        <w:t xml:space="preserve">unidad cúbica — Un cubo cuyas aristas miden 1 unidad — la unidad que se usa para medir el volumen.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Three large boxes hold 240 × 3 = 720 cubic inches, and two jumbo boxes hold 400 × 2 = 800 cubic inches, so 800 &gt; 720.</w:t>
            </w:r>
          </w:p>
          <w:p>
            <w:pPr>
              <w:spacing w:after="80"/>
            </w:pPr>
            <w:r>
              <w:rPr>
                <w:b/>
                <w:bCs/>
                <w:color w:val="12355B"/>
                <w:sz w:val="19"/>
                <w:szCs w:val="19"/>
              </w:rPr>
              <w:t xml:space="preserve">Evidence:  </w:t>
            </w:r>
            <w:r>
              <w:rPr>
                <w:sz w:val="19"/>
                <w:szCs w:val="19"/>
              </w:rPr>
              <w:t xml:space="preserve">A strong answer calculates both totals (720 and 800) and compares them to recommend the jumbo boxes. A weak answer picks an option without computing and comparing both volumes.</w:t>
            </w:r>
          </w:p>
          <w:p>
            <w:pPr>
              <w:spacing w:after="80"/>
            </w:pPr>
            <w:r>
              <w:rPr>
                <w:b/>
                <w:bCs/>
                <w:color w:val="12355B"/>
                <w:sz w:val="19"/>
                <w:szCs w:val="19"/>
              </w:rPr>
              <w:t xml:space="preserve">Reasoning:  </w:t>
            </w:r>
            <w:r>
              <w:rPr>
                <w:sz w:val="19"/>
                <w:szCs w:val="19"/>
              </w:rPr>
              <w:t xml:space="preserve">This evidence connects the definition of argument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argument</w:t>
      </w:r>
    </w:p>
    <w:p>
      <w:pPr>
        <w:spacing w:after="80"/>
      </w:pPr>
      <w:r>
        <w:rPr>
          <w:b/>
          <w:bCs/>
          <w:sz w:val="21"/>
          <w:szCs w:val="21"/>
        </w:rPr>
        <w:t xml:space="preserve">Notes 2:  </w:t>
      </w:r>
      <w:r>
        <w:rPr>
          <w:sz w:val="21"/>
          <w:szCs w:val="21"/>
        </w:rPr>
        <w:t xml:space="preserve">conjecture</w:t>
      </w:r>
    </w:p>
    <w:p>
      <w:pPr>
        <w:spacing w:after="80"/>
      </w:pPr>
      <w:r>
        <w:rPr>
          <w:b/>
          <w:bCs/>
          <w:sz w:val="21"/>
          <w:szCs w:val="21"/>
        </w:rPr>
        <w:t xml:space="preserve">Notes 3:  </w:t>
      </w:r>
      <w:r>
        <w:rPr>
          <w:sz w:val="21"/>
          <w:szCs w:val="21"/>
        </w:rPr>
        <w:t xml:space="preserve">counterexample</w:t>
      </w:r>
    </w:p>
    <w:p>
      <w:pPr>
        <w:spacing w:after="80"/>
      </w:pPr>
      <w:r>
        <w:rPr>
          <w:b/>
          <w:bCs/>
          <w:sz w:val="21"/>
          <w:szCs w:val="21"/>
        </w:rPr>
        <w:t xml:space="preserve">Notes 4:  </w:t>
      </w:r>
      <w:r>
        <w:rPr>
          <w:sz w:val="21"/>
          <w:szCs w:val="21"/>
        </w:rPr>
        <w:t xml:space="preserve">volume</w:t>
      </w:r>
    </w:p>
    <w:p>
      <w:pPr>
        <w:spacing w:after="80"/>
      </w:pPr>
      <w:r>
        <w:rPr>
          <w:b/>
          <w:bCs/>
          <w:sz w:val="21"/>
          <w:szCs w:val="21"/>
        </w:rPr>
        <w:t xml:space="preserve">Notes 5:  </w:t>
      </w:r>
      <w:r>
        <w:rPr>
          <w:sz w:val="21"/>
          <w:szCs w:val="21"/>
        </w:rPr>
        <w:t xml:space="preserve">cubic unit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240</w:t>
      </w:r>
    </w:p>
    <w:p>
      <w:pPr>
        <w:spacing w:after="80"/>
      </w:pPr>
      <w:r>
        <w:rPr>
          <w:b/>
          <w:bCs/>
          <w:sz w:val="21"/>
          <w:szCs w:val="21"/>
        </w:rPr>
        <w:t xml:space="preserve">We Do:  </w:t>
      </w:r>
      <w:r>
        <w:rPr>
          <w:sz w:val="21"/>
          <w:szCs w:val="21"/>
        </w:rPr>
        <w:t xml:space="preserve">A. 240 cubic inches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Reporting volume without cubic units — saying the garden needs '48 feet' of soil, which is a length, or '48 square feet', which is an area.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800 cubic inches</w:t>
      </w:r>
      <w:r>
        <w:rPr>
          <w:i/>
          <w:iCs/>
          <w:color w:val="5F6F80"/>
          <w:sz w:val="19"/>
          <w:szCs w:val="19"/>
        </w:rPr>
        <w:t xml:space="preserve">  — Two boxes of 400 cubic inches each is 400 × 2 = 800 cubic inches.</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Cubic feet</w:t>
      </w:r>
      <w:r>
        <w:rPr>
          <w:i/>
          <w:iCs/>
          <w:color w:val="5F6F80"/>
          <w:sz w:val="19"/>
          <w:szCs w:val="19"/>
        </w:rPr>
        <w:t xml:space="preserve">  — Volume is measured in cubic units, so soil that fills a space is measured in cubic feet.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720 cubic inches vs. 800 cubic inches — the jumbo option holds more</w:t>
      </w:r>
      <w:r>
        <w:rPr>
          <w:i/>
          <w:iCs/>
          <w:color w:val="5F6F80"/>
          <w:sz w:val="19"/>
          <w:szCs w:val="19"/>
        </w:rPr>
        <w:t xml:space="preserve">  — 240 × 3 = 720 and 400 × 2 = 800; since 800 &gt; 720, the two jumbo boxes hold more in total.</w:t>
      </w:r>
    </w:p>
    <w:p>
      <w:pPr>
        <w:spacing w:after="80"/>
      </w:pPr>
      <w:r>
        <w:rPr>
          <w:b/>
          <w:bCs/>
          <w:sz w:val="21"/>
          <w:szCs w:val="21"/>
        </w:rPr>
        <w:t xml:space="preserve">6.  </w:t>
      </w:r>
      <w:r>
        <w:rPr>
          <w:sz w:val="21"/>
          <w:szCs w:val="21"/>
        </w:rPr>
        <w:t xml:space="preserve">A)  48 cubic feet</w:t>
      </w:r>
      <w:r>
        <w:rPr>
          <w:i/>
          <w:iCs/>
          <w:color w:val="5F6F80"/>
          <w:sz w:val="19"/>
          <w:szCs w:val="19"/>
        </w:rPr>
        <w:t xml:space="preserve">  — First bed: 4 × 3 × 2 = 24 cubic feet. Second bed: 6 × 2 × 2 = 24 cubic feet. Together: 24 + 24 = 48 cubic feet.</w:t>
      </w:r>
    </w:p>
    <w:p>
      <w:pPr>
        <w:pStyle w:val="Heading2"/>
        <w:spacing w:after="80" w:before="180"/>
      </w:pPr>
      <w:r>
        <w:rPr>
          <w:b/>
          <w:bCs/>
          <w:color w:val="12355B"/>
          <w:sz w:val="24"/>
          <w:szCs w:val="24"/>
        </w:rPr>
        <w:t xml:space="preserve">Exit Ticket</w:t>
      </w:r>
    </w:p>
    <w:p>
      <w:pPr>
        <w:spacing w:after="80"/>
      </w:pPr>
      <w:r>
        <w:rPr>
          <w:sz w:val="21"/>
          <w:szCs w:val="21"/>
        </w:rPr>
        <w:t xml:space="preserve">A)  We communicate our reasoning, listen to classmates' arguments, decide whether they are convincing, and check our calculations for accuracy</w:t>
      </w:r>
      <w:r>
        <w:rPr>
          <w:i/>
          <w:iCs/>
          <w:color w:val="5F6F80"/>
          <w:sz w:val="19"/>
          <w:szCs w:val="19"/>
        </w:rPr>
        <w:t xml:space="preserve">  — The summary says it directly: we communicate our reasoning, make conjectures, listen and probe classmates' arguments, communicate precisely, label units accurately, and check that our calculations are accurate.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2026-08-12T18:28:13.251Z</dcterms:created>
  <dcterms:modified xsi:type="dcterms:W3CDTF">2026-08-12T18:28:13.251Z</dcterms:modified>
</cp:coreProperties>
</file>

<file path=docProps/custom.xml><?xml version="1.0" encoding="utf-8"?>
<Properties xmlns="http://schemas.openxmlformats.org/officeDocument/2006/custom-properties" xmlns:vt="http://schemas.openxmlformats.org/officeDocument/2006/docPropsVTypes"/>
</file>