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Rates and Unit Rates — </w:t>
      </w:r>
      <w:r>
        <w:rPr>
          <w:sz w:val="20"/>
          <w:szCs w:val="20"/>
        </w:rPr>
        <w:t xml:space="preserve">A rate compares different units; a unit rate compares a quantity to 1 unit.</w:t>
      </w:r>
      <w:r>
        <w:rPr>
          <w:i/>
          <w:iCs/>
          <w:color w:val="5F6F80"/>
          <w:sz w:val="18"/>
          <w:szCs w:val="18"/>
        </w:rPr>
        <w:br/>
        <w:t xml:space="preserve">Tasas y tasas unitarias — Una tasa compara unidades diferentes; una tasa unitaria compara una cantidad con 1 unidad.</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___ bag is the better deal because its unit rate is $___ per cup, which is ___ than $___ per cup for the other size.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rates and unit rates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2026-08-12T18:28:23.698Z</dcterms:created>
  <dcterms:modified xsi:type="dcterms:W3CDTF">2026-08-12T18:28:23.698Z</dcterms:modified>
</cp:coreProperties>
</file>

<file path=docProps/custom.xml><?xml version="1.0" encoding="utf-8"?>
<Properties xmlns="http://schemas.openxmlformats.org/officeDocument/2006/custom-properties" xmlns:vt="http://schemas.openxmlformats.org/officeDocument/2006/docPropsVTypes"/>
</file>