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in its smallest equal form,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Fractions — </w:t>
      </w:r>
      <w:r>
        <w:rPr>
          <w:sz w:val="20"/>
          <w:szCs w:val="20"/>
        </w:rPr>
        <w:t xml:space="preserve">Multiply the first fraction by the reciprocal of the second fraction.</w:t>
      </w:r>
      <w:r>
        <w:rPr>
          <w:i/>
          <w:iCs/>
          <w:color w:val="5F6F80"/>
          <w:sz w:val="18"/>
          <w:szCs w:val="18"/>
        </w:rPr>
        <w:br/>
        <w:t xml:space="preserve">Dividir fracciones — Multiplicar la primera fracción por el recíproco de la segunda fracción.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carpenter can cut ___ pieces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mixed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</w:t>
      </w:r>
    </w:p>
    <w:p>
      <w:pPr>
        <w:spacing w:after="60"/>
        <w:ind w:left="420"/>
      </w:pPr>
      <w:r>
        <w:rPr>
          <w:sz w:val="21"/>
          <w:szCs w:val="21"/>
        </w:rPr>
        <w:t xml:space="preserve">B)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C)  5/6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2026-08-12T18:28:32.430Z</dcterms:created>
  <dcterms:modified xsi:type="dcterms:W3CDTF">2026-08-12T18:28:32.430Z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