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r>
              <w:rPr>
                <w:i/>
                <w:iCs/>
                <w:color w:val="5F6F80"/>
                <w:sz w:val="19"/>
                <w:szCs w:val="19"/>
              </w:rPr>
              <w:br/>
              <w:t xml:space="preserve">¿Qué herramienta puedes usar para representar la relación entre el tiempo y los viajes redondos, y cómo responde la pregunta?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tape diagram</w:t>
      </w:r>
      <w:r>
        <w:rPr>
          <w:i/>
          <w:iCs/>
          <w:color w:val="5F6F80"/>
          <w:sz w:val="18"/>
          <w:szCs w:val="18"/>
        </w:rPr>
        <w:t xml:space="preserve">  ·  diagrama de cintas</w:t>
      </w:r>
    </w:p>
    <w:p>
      <w:pPr>
        <w:spacing w:after="40"/>
      </w:pPr>
      <w:r>
        <w:rPr>
          <w:b/>
          <w:bCs/>
          <w:color w:val="1FA6A2"/>
          <w:sz w:val="22"/>
          <w:szCs w:val="22"/>
        </w:rPr>
        <w:t xml:space="preserve">☐  </w:t>
      </w:r>
      <w:r>
        <w:rPr>
          <w:b/>
          <w:bCs/>
          <w:color w:val="12355B"/>
          <w:sz w:val="20"/>
          <w:szCs w:val="20"/>
        </w:rPr>
        <w:t xml:space="preserve">tool</w:t>
      </w:r>
      <w:r>
        <w:rPr>
          <w:i/>
          <w:iCs/>
          <w:color w:val="5F6F80"/>
          <w:sz w:val="18"/>
          <w:szCs w:val="18"/>
        </w:rPr>
        <w:t xml:space="preserve">  ·  herramienta</w:t>
      </w:r>
    </w:p>
    <w:p>
      <w:pPr>
        <w:spacing w:after="40"/>
      </w:pPr>
      <w:r>
        <w:rPr>
          <w:b/>
          <w:bCs/>
          <w:color w:val="1FA6A2"/>
          <w:sz w:val="22"/>
          <w:szCs w:val="22"/>
        </w:rPr>
        <w:t xml:space="preserve">☐  </w:t>
      </w:r>
      <w:r>
        <w:rPr>
          <w:b/>
          <w:bCs/>
          <w:color w:val="12355B"/>
          <w:sz w:val="20"/>
          <w:szCs w:val="20"/>
        </w:rPr>
        <w:t xml:space="preserve">ordered pair</w:t>
      </w:r>
      <w:r>
        <w:rPr>
          <w:i/>
          <w:iCs/>
          <w:color w:val="5F6F80"/>
          <w:sz w:val="18"/>
          <w:szCs w:val="18"/>
        </w:rPr>
        <w:t xml:space="preserve">  ·  par ordenado</w:t>
      </w:r>
    </w:p>
    <w:p>
      <w:pPr>
        <w:spacing w:after="40"/>
      </w:pPr>
      <w:r>
        <w:rPr>
          <w:b/>
          <w:bCs/>
          <w:color w:val="1FA6A2"/>
          <w:sz w:val="22"/>
          <w:szCs w:val="22"/>
        </w:rPr>
        <w:t xml:space="preserve">☐  </w:t>
      </w:r>
      <w:r>
        <w:rPr>
          <w:b/>
          <w:bCs/>
          <w:color w:val="12355B"/>
          <w:sz w:val="20"/>
          <w:szCs w:val="20"/>
        </w:rPr>
        <w:t xml:space="preserve">round trip</w:t>
      </w:r>
      <w:r>
        <w:rPr>
          <w:i/>
          <w:iCs/>
          <w:color w:val="5F6F80"/>
          <w:sz w:val="18"/>
          <w:szCs w:val="18"/>
        </w:rPr>
        <w:t xml:space="preserve">  ·  viaje de ida y vuelta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Moving 4,000 passengers in rides of 80 each requires dividing 4,000 by 80. — A strong answer identifies division because you're splitting a total into equal-sized groups (rides of 80). A weak answer just says 'divide' without connecting it to splitting the total passengers into groups.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2026-08-27T20:29:37.966Z</dcterms:created>
  <dcterms:modified xsi:type="dcterms:W3CDTF">2026-08-27T20:29:37.966Z</dcterms:modified>
</cp:coreProperties>
</file>

<file path=docProps/custom.xml><?xml version="1.0" encoding="utf-8"?>
<Properties xmlns="http://schemas.openxmlformats.org/officeDocument/2006/custom-properties" xmlns:vt="http://schemas.openxmlformats.org/officeDocument/2006/docPropsVTypes"/>
</file>