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¿Cabrá el mueble por la puerta? Muestra tu conversión para 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</w:t>
      </w:r>
      <w:r>
        <w:rPr>
          <w:i/>
          <w:iCs/>
          <w:color w:val="5F6F80"/>
          <w:sz w:val="18"/>
          <w:szCs w:val="18"/>
        </w:rPr>
        <w:t xml:space="preserve">  ·  Unidad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Customary units</w:t>
      </w:r>
      <w:r>
        <w:rPr>
          <w:i/>
          <w:iCs/>
          <w:color w:val="5F6F80"/>
          <w:sz w:val="18"/>
          <w:szCs w:val="18"/>
        </w:rPr>
        <w:t xml:space="preserve">  ·  Unidades usuales (sistema inglés)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 — Students explain a foot is the larger customary unit (12 inches) and that mixed units must be converted to the same unit before working with them.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2026-08-27T20:29:47.604Z</dcterms:created>
  <dcterms:modified xsi:type="dcterms:W3CDTF">2026-08-27T20:29:47.604Z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