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azulejos necesita el arquitecto?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</w:t>
      </w:r>
      <w:r>
        <w:rPr>
          <w:i/>
          <w:iCs/>
          <w:color w:val="5F6F80"/>
          <w:sz w:val="18"/>
          <w:szCs w:val="18"/>
        </w:rPr>
        <w:t xml:space="preserve">  ·  Lado inclinado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</w:t>
      </w:r>
      <w:r>
        <w:rPr>
          <w:i/>
          <w:iCs/>
          <w:color w:val="5F6F80"/>
          <w:sz w:val="18"/>
          <w:szCs w:val="18"/>
        </w:rPr>
        <w:t xml:space="preserve">  ·  Paralelogramo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</w:t>
      </w:r>
      <w:r>
        <w:rPr>
          <w:i/>
          <w:iCs/>
          <w:color w:val="5F6F80"/>
          <w:sz w:val="18"/>
          <w:szCs w:val="18"/>
        </w:rPr>
        <w:t xml:space="preserve">  ·  Base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the height because it is perpendicular to the base. — Students connect 'height' to the perpendicular (straight-up) distance from base to top, and recognize the slanted side is longer and would overstate the area.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27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2026-08-27T20:29:50.812Z</dcterms:created>
  <dcterms:modified xsi:type="dcterms:W3CDTF">2026-08-27T20:29:50.812Z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