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 área de superficie hay que teñir, y cuántas latas de tinte se necesitan?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</w:t>
      </w:r>
      <w:r>
        <w:rPr>
          <w:i/>
          <w:iCs/>
          <w:color w:val="5F6F80"/>
          <w:sz w:val="18"/>
          <w:szCs w:val="18"/>
        </w:rPr>
        <w:t xml:space="preserve">  ·  Área de superficie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</w:t>
      </w:r>
      <w:r>
        <w:rPr>
          <w:i/>
          <w:iCs/>
          <w:color w:val="5F6F80"/>
          <w:sz w:val="18"/>
          <w:szCs w:val="18"/>
        </w:rPr>
        <w:t xml:space="preserve">  ·  Prisma triangular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</w:t>
      </w:r>
      <w:r>
        <w:rPr>
          <w:i/>
          <w:iCs/>
          <w:color w:val="5F6F80"/>
          <w:sz w:val="18"/>
          <w:szCs w:val="18"/>
        </w:rPr>
        <w:t xml:space="preserve">  ·  Cara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 — Students explain both methods add up all face areas, but a rectangular prism has 6 rectangular faces while a triangular prism has 5 faces (2 triangles + 3 rectangles).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3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6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7d70a2acc240cbd089afce39cf1bce96dd7510d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2026-08-27T20:29:53.998Z</dcterms:created>
  <dcterms:modified xsi:type="dcterms:W3CDTF">2026-08-27T20:29:53.998Z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