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hours with kilometers: (1, 48), (2, 96), (5, 240). How many kilometers are traveled each hour?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96</w:t>
      </w:r>
    </w:p>
    <w:p>
      <w:pPr>
        <w:spacing w:after="40"/>
        <w:ind w:left="420"/>
      </w:pPr>
      <w:r>
        <w:rPr>
          <w:sz w:val="20"/>
          <w:szCs w:val="20"/>
        </w:rPr>
        <w:t xml:space="preserve">C)  240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is the line on the football ticket graph dashed instead of solid?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You can only buy whole numbers of tickets, so the points between whole numbers do not make sense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graph is unfinished</w:t>
      </w:r>
    </w:p>
    <w:p>
      <w:pPr>
        <w:spacing w:after="40"/>
        <w:ind w:left="420"/>
      </w:pPr>
      <w:r>
        <w:rPr>
          <w:sz w:val="20"/>
          <w:szCs w:val="20"/>
        </w:rPr>
        <w:t xml:space="preserve">C)  Dashed lines always mean the cost is decreasing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ticket price changes between points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ticket table and ticket graph are two representations. Which statement about them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show the same relationship — the table with numerical values, the graph in a more visual way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graph shows a different relationship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table can show that cost increases with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the graph is a real mathematical representation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the ticket table, what are the coordinates of the point for 4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180)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160)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(180,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49)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2026-08-27T20:30:01.910Z</dcterms:created>
  <dcterms:modified xsi:type="dcterms:W3CDTF">2026-08-27T20:30:01.910Z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