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20" w:line="300" w:lineRule="auto"/>
        <w:jc w:val="left"/>
      </w:pPr>
      <w:r>
        <w:rPr>
          <w:rFonts w:ascii="Calibri" w:hAnsi="Calibri"/>
          <w:b/>
          <w:i w:val="0"/>
          <w:color w:val="1A365D"/>
          <w:sz w:val="40"/>
        </w:rPr>
        <w:t>DOMAIN ATTACK SURFACE SCANNER (DASS)</w:t>
      </w:r>
    </w:p>
    <w:p>
      <w:pPr>
        <w:keepNext/>
        <w:spacing w:before="280" w:after="80" w:line="300" w:lineRule="auto"/>
        <w:jc w:val="left"/>
      </w:pPr>
      <w:r>
        <w:rPr>
          <w:rFonts w:ascii="Calibri" w:hAnsi="Calibri"/>
          <w:b/>
          <w:i w:val="0"/>
          <w:color w:val="2B6CB0"/>
          <w:sz w:val="30"/>
        </w:rPr>
        <w:t>Technical &amp; Academic Project Report: Passive External Attack Surface Intelligence and Automated Hygiene Evaluation</w:t>
      </w:r>
    </w:p>
    <w:p>
      <w:pPr>
        <w:spacing w:before="120" w:after="120" w:line="300" w:lineRule="auto"/>
        <w:jc w:val="center"/>
      </w:pPr>
      <w:r>
        <w:rPr>
          <w:color w:val="E2E8F0"/>
          <w:sz w:val="20"/>
        </w:rPr>
        <w:t>―――――――――――――――――――――――――――――――――――――――――――――――――――――――</w:t>
      </w:r>
    </w:p>
    <w:p>
      <w:pPr>
        <w:keepNext/>
        <w:spacing w:before="200" w:after="60" w:line="300" w:lineRule="auto"/>
        <w:jc w:val="left"/>
      </w:pPr>
      <w:r>
        <w:rPr>
          <w:rFonts w:ascii="Calibri" w:hAnsi="Calibri"/>
          <w:b/>
          <w:i w:val="0"/>
          <w:color w:val="2C5282"/>
          <w:sz w:val="25"/>
        </w:rPr>
        <w:t>Project Metadata &amp; Declaration</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Project Title:</w:t>
      </w:r>
      <w:r>
        <w:rPr>
          <w:rFonts w:ascii="Calibri" w:hAnsi="Calibri"/>
          <w:b w:val="0"/>
          <w:i w:val="0"/>
          <w:color w:val="2D3748"/>
          <w:sz w:val="21"/>
        </w:rPr>
        <w:t xml:space="preserve"> Domain Attack Surface Scanner (DASS)</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Primary Repository:</w:t>
      </w:r>
      <w:r>
        <w:rPr>
          <w:rFonts w:ascii="Calibri" w:hAnsi="Calibri"/>
          <w:b w:val="0"/>
          <w:i w:val="0"/>
          <w:color w:val="2D3748"/>
          <w:sz w:val="21"/>
        </w:rPr>
        <w:t xml:space="preserve"> Balu-Annapureddy/DomainAttackSurfaceScanner</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Author / Candidate:</w:t>
      </w:r>
      <w:r>
        <w:rPr>
          <w:rFonts w:ascii="Calibri" w:hAnsi="Calibri"/>
          <w:b w:val="0"/>
          <w:i w:val="0"/>
          <w:color w:val="2D3748"/>
          <w:sz w:val="21"/>
        </w:rPr>
        <w:t xml:space="preserve"> Balu Annapureddy</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Candidate Registration / Roll Number:</w:t>
      </w:r>
      <w:r>
        <w:rPr>
          <w:rFonts w:ascii="Calibri" w:hAnsi="Calibri"/>
          <w:b w:val="0"/>
          <w:i w:val="0"/>
          <w:color w:val="2D3748"/>
          <w:sz w:val="21"/>
        </w:rPr>
        <w:t xml:space="preserve"> [Candidate Registration Number Placeholder]</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Academic Department:</w:t>
      </w:r>
      <w:r>
        <w:rPr>
          <w:rFonts w:ascii="Calibri" w:hAnsi="Calibri"/>
          <w:b w:val="0"/>
          <w:i w:val="0"/>
          <w:color w:val="2D3748"/>
          <w:sz w:val="21"/>
        </w:rPr>
        <w:t xml:space="preserve"> [Department of Computer Science &amp; Engineering / Information Security]</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Institution / University:</w:t>
      </w:r>
      <w:r>
        <w:rPr>
          <w:rFonts w:ascii="Calibri" w:hAnsi="Calibri"/>
          <w:b w:val="0"/>
          <w:i w:val="0"/>
          <w:color w:val="2D3748"/>
          <w:sz w:val="21"/>
        </w:rPr>
        <w:t xml:space="preserve"> [University / Engineering Institute Placeholder]</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Project Guide / Supervisor:</w:t>
      </w:r>
      <w:r>
        <w:rPr>
          <w:rFonts w:ascii="Calibri" w:hAnsi="Calibri"/>
          <w:b w:val="0"/>
          <w:i w:val="0"/>
          <w:color w:val="2D3748"/>
          <w:sz w:val="21"/>
        </w:rPr>
        <w:t xml:space="preserve"> [Project Supervisor / Faculty Mentor Placeholder]</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Academic Year / Semester:</w:t>
      </w:r>
      <w:r>
        <w:rPr>
          <w:rFonts w:ascii="Calibri" w:hAnsi="Calibri"/>
          <w:b w:val="0"/>
          <w:i w:val="0"/>
          <w:color w:val="2D3748"/>
          <w:sz w:val="21"/>
        </w:rPr>
        <w:t xml:space="preserve"> [2025–2026 / Final Year Project Submission]</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Date of Submission:</w:t>
      </w:r>
      <w:r>
        <w:rPr>
          <w:rFonts w:ascii="Calibri" w:hAnsi="Calibri"/>
          <w:b w:val="0"/>
          <w:i w:val="0"/>
          <w:color w:val="2D3748"/>
          <w:sz w:val="21"/>
        </w:rPr>
        <w:t xml:space="preserve"> October 2026</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License:</w:t>
      </w:r>
      <w:r>
        <w:rPr>
          <w:rFonts w:ascii="Calibri" w:hAnsi="Calibri"/>
          <w:b w:val="0"/>
          <w:i w:val="0"/>
          <w:color w:val="2D3748"/>
          <w:sz w:val="21"/>
        </w:rPr>
        <w:t xml:space="preserve"> MIT License</w:t>
      </w:r>
    </w:p>
    <w:p>
      <w:pPr>
        <w:spacing w:before="120" w:after="120" w:line="300" w:lineRule="auto"/>
        <w:jc w:val="center"/>
      </w:pPr>
      <w:r>
        <w:rPr>
          <w:color w:val="E2E8F0"/>
          <w:sz w:val="20"/>
        </w:rPr>
        <w:t>―――――――――――――――――――――――――――――――――――――――――――――――――――――――</w:t>
      </w:r>
    </w:p>
    <w:p>
      <w:pPr>
        <w:keepNext/>
        <w:spacing w:before="280" w:after="80" w:line="300" w:lineRule="auto"/>
        <w:jc w:val="left"/>
      </w:pPr>
      <w:r>
        <w:rPr>
          <w:rFonts w:ascii="Calibri" w:hAnsi="Calibri"/>
          <w:b/>
          <w:i w:val="0"/>
          <w:color w:val="2B6CB0"/>
          <w:sz w:val="30"/>
        </w:rPr>
        <w:t>TABLE OF CONTENTS</w:t>
      </w:r>
    </w:p>
    <w:p>
      <w:pPr>
        <w:spacing w:before="20" w:after="60" w:line="276" w:lineRule="auto"/>
        <w:ind w:left="360"/>
        <w:jc w:val="left"/>
      </w:pPr>
      <w:r>
        <w:rPr>
          <w:rFonts w:ascii="Calibri" w:hAnsi="Calibri"/>
          <w:b/>
          <w:i w:val="0"/>
          <w:color w:val="2B6CB0"/>
          <w:sz w:val="21"/>
        </w:rPr>
        <w:t xml:space="preserve">1.  </w:t>
      </w:r>
      <w:r>
        <w:rPr>
          <w:rFonts w:ascii="Calibri" w:hAnsi="Calibri"/>
          <w:b w:val="0"/>
          <w:i w:val="0"/>
          <w:color w:val="2D3748"/>
          <w:sz w:val="21"/>
        </w:rPr>
        <w:t>[Cover Page](#1-cover-page)</w:t>
      </w:r>
    </w:p>
    <w:p>
      <w:pPr>
        <w:spacing w:before="20" w:after="60" w:line="276" w:lineRule="auto"/>
        <w:ind w:left="360"/>
        <w:jc w:val="left"/>
      </w:pPr>
      <w:r>
        <w:rPr>
          <w:rFonts w:ascii="Calibri" w:hAnsi="Calibri"/>
          <w:b/>
          <w:i w:val="0"/>
          <w:color w:val="2B6CB0"/>
          <w:sz w:val="21"/>
        </w:rPr>
        <w:t xml:space="preserve">2.  </w:t>
      </w:r>
      <w:r>
        <w:rPr>
          <w:rFonts w:ascii="Calibri" w:hAnsi="Calibri"/>
          <w:b w:val="0"/>
          <w:i w:val="0"/>
          <w:color w:val="2D3748"/>
          <w:sz w:val="21"/>
        </w:rPr>
        <w:t>[Abstract](#2-abstract)</w:t>
      </w:r>
    </w:p>
    <w:p>
      <w:pPr>
        <w:spacing w:before="20" w:after="60" w:line="276" w:lineRule="auto"/>
        <w:ind w:left="360"/>
        <w:jc w:val="left"/>
      </w:pPr>
      <w:r>
        <w:rPr>
          <w:rFonts w:ascii="Calibri" w:hAnsi="Calibri"/>
          <w:b/>
          <w:i w:val="0"/>
          <w:color w:val="2B6CB0"/>
          <w:sz w:val="21"/>
        </w:rPr>
        <w:t xml:space="preserve">3.  </w:t>
      </w:r>
      <w:r>
        <w:rPr>
          <w:rFonts w:ascii="Calibri" w:hAnsi="Calibri"/>
          <w:b w:val="0"/>
          <w:i w:val="0"/>
          <w:color w:val="2D3748"/>
          <w:sz w:val="21"/>
        </w:rPr>
        <w:t>[Introduction](#3-introduction)</w:t>
      </w:r>
    </w:p>
    <w:p>
      <w:pPr>
        <w:spacing w:before="20" w:after="60" w:line="276" w:lineRule="auto"/>
        <w:ind w:left="360"/>
        <w:jc w:val="left"/>
      </w:pPr>
      <w:r>
        <w:rPr>
          <w:rFonts w:ascii="Calibri" w:hAnsi="Calibri"/>
          <w:b/>
          <w:i w:val="0"/>
          <w:color w:val="2B6CB0"/>
          <w:sz w:val="21"/>
        </w:rPr>
        <w:t xml:space="preserve">4.  </w:t>
      </w:r>
      <w:r>
        <w:rPr>
          <w:rFonts w:ascii="Calibri" w:hAnsi="Calibri"/>
          <w:b w:val="0"/>
          <w:i w:val="0"/>
          <w:color w:val="2D3748"/>
          <w:sz w:val="21"/>
        </w:rPr>
        <w:t>[Problem Statement](#4-problem-statement)</w:t>
      </w:r>
    </w:p>
    <w:p>
      <w:pPr>
        <w:spacing w:before="20" w:after="60" w:line="276" w:lineRule="auto"/>
        <w:ind w:left="360"/>
        <w:jc w:val="left"/>
      </w:pPr>
      <w:r>
        <w:rPr>
          <w:rFonts w:ascii="Calibri" w:hAnsi="Calibri"/>
          <w:b/>
          <w:i w:val="0"/>
          <w:color w:val="2B6CB0"/>
          <w:sz w:val="21"/>
        </w:rPr>
        <w:t xml:space="preserve">5.  </w:t>
      </w:r>
      <w:r>
        <w:rPr>
          <w:rFonts w:ascii="Calibri" w:hAnsi="Calibri"/>
          <w:b w:val="0"/>
          <w:i w:val="0"/>
          <w:color w:val="2D3748"/>
          <w:sz w:val="21"/>
        </w:rPr>
        <w:t>[Objectives](#5-objectives)</w:t>
      </w:r>
    </w:p>
    <w:p>
      <w:pPr>
        <w:spacing w:before="20" w:after="60" w:line="276" w:lineRule="auto"/>
        <w:ind w:left="360"/>
        <w:jc w:val="left"/>
      </w:pPr>
      <w:r>
        <w:rPr>
          <w:rFonts w:ascii="Calibri" w:hAnsi="Calibri"/>
          <w:b/>
          <w:i w:val="0"/>
          <w:color w:val="2B6CB0"/>
          <w:sz w:val="21"/>
        </w:rPr>
        <w:t xml:space="preserve">6.  </w:t>
      </w:r>
      <w:r>
        <w:rPr>
          <w:rFonts w:ascii="Calibri" w:hAnsi="Calibri"/>
          <w:b w:val="0"/>
          <w:i w:val="0"/>
          <w:color w:val="2D3748"/>
          <w:sz w:val="21"/>
        </w:rPr>
        <w:t>[Existing System and Literature Review](#6-existing-system-and-literature-review)</w:t>
      </w:r>
    </w:p>
    <w:p>
      <w:pPr>
        <w:spacing w:before="20" w:after="60" w:line="276" w:lineRule="auto"/>
        <w:ind w:left="360"/>
        <w:jc w:val="left"/>
      </w:pPr>
      <w:r>
        <w:rPr>
          <w:rFonts w:ascii="Calibri" w:hAnsi="Calibri"/>
          <w:b/>
          <w:i w:val="0"/>
          <w:color w:val="2B6CB0"/>
          <w:sz w:val="21"/>
        </w:rPr>
        <w:t xml:space="preserve">7.  </w:t>
      </w:r>
      <w:r>
        <w:rPr>
          <w:rFonts w:ascii="Calibri" w:hAnsi="Calibri"/>
          <w:b w:val="0"/>
          <w:i w:val="0"/>
          <w:color w:val="2D3748"/>
          <w:sz w:val="21"/>
        </w:rPr>
        <w:t>[Proposed System](#7-proposed-system)</w:t>
      </w:r>
    </w:p>
    <w:p>
      <w:pPr>
        <w:spacing w:before="20" w:after="60" w:line="276" w:lineRule="auto"/>
        <w:ind w:left="360"/>
        <w:jc w:val="left"/>
      </w:pPr>
      <w:r>
        <w:rPr>
          <w:rFonts w:ascii="Calibri" w:hAnsi="Calibri"/>
          <w:b/>
          <w:i w:val="0"/>
          <w:color w:val="2B6CB0"/>
          <w:sz w:val="21"/>
        </w:rPr>
        <w:t xml:space="preserve">8.  </w:t>
      </w:r>
      <w:r>
        <w:rPr>
          <w:rFonts w:ascii="Calibri" w:hAnsi="Calibri"/>
          <w:b w:val="0"/>
          <w:i w:val="0"/>
          <w:color w:val="2D3748"/>
          <w:sz w:val="21"/>
        </w:rPr>
        <w:t>[System Requirements](#8-system-requirements)</w:t>
      </w:r>
    </w:p>
    <w:p>
      <w:pPr>
        <w:spacing w:before="20" w:after="60" w:line="276" w:lineRule="auto"/>
        <w:ind w:left="360"/>
        <w:jc w:val="left"/>
      </w:pPr>
      <w:r>
        <w:rPr>
          <w:rFonts w:ascii="Calibri" w:hAnsi="Calibri"/>
          <w:b/>
          <w:i w:val="0"/>
          <w:color w:val="2B6CB0"/>
          <w:sz w:val="21"/>
        </w:rPr>
        <w:t xml:space="preserve">9.  </w:t>
      </w:r>
      <w:r>
        <w:rPr>
          <w:rFonts w:ascii="Calibri" w:hAnsi="Calibri"/>
          <w:b w:val="0"/>
          <w:i w:val="0"/>
          <w:color w:val="2D3748"/>
          <w:sz w:val="21"/>
        </w:rPr>
        <w:t>[System Architecture](#9-system-architecture)</w:t>
      </w:r>
    </w:p>
    <w:p>
      <w:pPr>
        <w:spacing w:before="20" w:after="60" w:line="276" w:lineRule="auto"/>
        <w:ind w:left="360"/>
        <w:jc w:val="left"/>
      </w:pPr>
      <w:r>
        <w:rPr>
          <w:rFonts w:ascii="Calibri" w:hAnsi="Calibri"/>
          <w:b/>
          <w:i w:val="0"/>
          <w:color w:val="2B6CB0"/>
          <w:sz w:val="21"/>
        </w:rPr>
        <w:t xml:space="preserve">10.  </w:t>
      </w:r>
      <w:r>
        <w:rPr>
          <w:rFonts w:ascii="Calibri" w:hAnsi="Calibri"/>
          <w:b w:val="0"/>
          <w:i w:val="0"/>
          <w:color w:val="2D3748"/>
          <w:sz w:val="21"/>
        </w:rPr>
        <w:t>[Methodology](#10-methodology)</w:t>
      </w:r>
    </w:p>
    <w:p>
      <w:pPr>
        <w:spacing w:before="20" w:after="60" w:line="276" w:lineRule="auto"/>
        <w:ind w:left="360"/>
        <w:jc w:val="left"/>
      </w:pPr>
      <w:r>
        <w:rPr>
          <w:rFonts w:ascii="Calibri" w:hAnsi="Calibri"/>
          <w:b/>
          <w:i w:val="0"/>
          <w:color w:val="2B6CB0"/>
          <w:sz w:val="21"/>
        </w:rPr>
        <w:t xml:space="preserve">11.  </w:t>
      </w:r>
      <w:r>
        <w:rPr>
          <w:rFonts w:ascii="Calibri" w:hAnsi="Calibri"/>
          <w:b w:val="0"/>
          <w:i w:val="0"/>
          <w:color w:val="2D3748"/>
          <w:sz w:val="21"/>
        </w:rPr>
        <w:t>[Implementation](#11-implementation)</w:t>
      </w:r>
    </w:p>
    <w:p>
      <w:pPr>
        <w:spacing w:before="20" w:after="60" w:line="276" w:lineRule="auto"/>
        <w:ind w:left="360"/>
        <w:jc w:val="left"/>
      </w:pPr>
      <w:r>
        <w:rPr>
          <w:rFonts w:ascii="Calibri" w:hAnsi="Calibri"/>
          <w:b/>
          <w:i w:val="0"/>
          <w:color w:val="2B6CB0"/>
          <w:sz w:val="21"/>
        </w:rPr>
        <w:t xml:space="preserve">12.  </w:t>
      </w:r>
      <w:r>
        <w:rPr>
          <w:rFonts w:ascii="Calibri" w:hAnsi="Calibri"/>
          <w:b w:val="0"/>
          <w:i w:val="0"/>
          <w:color w:val="2D3748"/>
          <w:sz w:val="21"/>
        </w:rPr>
        <w:t>[Key Features](#12-key-features)</w:t>
      </w:r>
    </w:p>
    <w:p>
      <w:pPr>
        <w:spacing w:before="20" w:after="60" w:line="276" w:lineRule="auto"/>
        <w:ind w:left="360"/>
        <w:jc w:val="left"/>
      </w:pPr>
      <w:r>
        <w:rPr>
          <w:rFonts w:ascii="Calibri" w:hAnsi="Calibri"/>
          <w:b/>
          <w:i w:val="0"/>
          <w:color w:val="2B6CB0"/>
          <w:sz w:val="21"/>
        </w:rPr>
        <w:t xml:space="preserve">13.  </w:t>
      </w:r>
      <w:r>
        <w:rPr>
          <w:rFonts w:ascii="Calibri" w:hAnsi="Calibri"/>
          <w:b w:val="0"/>
          <w:i w:val="0"/>
          <w:color w:val="2D3748"/>
          <w:sz w:val="21"/>
        </w:rPr>
        <w:t>[Findings and Scoring](#13-findings-and-scoring)</w:t>
      </w:r>
    </w:p>
    <w:p>
      <w:pPr>
        <w:spacing w:before="20" w:after="60" w:line="276" w:lineRule="auto"/>
        <w:ind w:left="360"/>
        <w:jc w:val="left"/>
      </w:pPr>
      <w:r>
        <w:rPr>
          <w:rFonts w:ascii="Calibri" w:hAnsi="Calibri"/>
          <w:b/>
          <w:i w:val="0"/>
          <w:color w:val="2B6CB0"/>
          <w:sz w:val="21"/>
        </w:rPr>
        <w:t xml:space="preserve">14.  </w:t>
      </w:r>
      <w:r>
        <w:rPr>
          <w:rFonts w:ascii="Calibri" w:hAnsi="Calibri"/>
          <w:b w:val="0"/>
          <w:i w:val="0"/>
          <w:color w:val="2D3748"/>
          <w:sz w:val="21"/>
        </w:rPr>
        <w:t>[User Interface and Visualization](#14-user-interface-and-visualization)</w:t>
      </w:r>
    </w:p>
    <w:p>
      <w:pPr>
        <w:spacing w:before="20" w:after="60" w:line="276" w:lineRule="auto"/>
        <w:ind w:left="360"/>
        <w:jc w:val="left"/>
      </w:pPr>
      <w:r>
        <w:rPr>
          <w:rFonts w:ascii="Calibri" w:hAnsi="Calibri"/>
          <w:b/>
          <w:i w:val="0"/>
          <w:color w:val="2B6CB0"/>
          <w:sz w:val="21"/>
        </w:rPr>
        <w:t xml:space="preserve">15.  </w:t>
      </w:r>
      <w:r>
        <w:rPr>
          <w:rFonts w:ascii="Calibri" w:hAnsi="Calibri"/>
          <w:b w:val="0"/>
          <w:i w:val="0"/>
          <w:color w:val="2D3748"/>
          <w:sz w:val="21"/>
        </w:rPr>
        <w:t>[Security, Privacy, and Safety Boundaries](#15-security-privacy-and-safety-boundaries)</w:t>
      </w:r>
    </w:p>
    <w:p>
      <w:pPr>
        <w:spacing w:before="20" w:after="60" w:line="276" w:lineRule="auto"/>
        <w:ind w:left="360"/>
        <w:jc w:val="left"/>
      </w:pPr>
      <w:r>
        <w:rPr>
          <w:rFonts w:ascii="Calibri" w:hAnsi="Calibri"/>
          <w:b/>
          <w:i w:val="0"/>
          <w:color w:val="2B6CB0"/>
          <w:sz w:val="21"/>
        </w:rPr>
        <w:t xml:space="preserve">16.  </w:t>
      </w:r>
      <w:r>
        <w:rPr>
          <w:rFonts w:ascii="Calibri" w:hAnsi="Calibri"/>
          <w:b w:val="0"/>
          <w:i w:val="0"/>
          <w:color w:val="2D3748"/>
          <w:sz w:val="21"/>
        </w:rPr>
        <w:t>[Testing and Validation](#16-testing-and-validation)</w:t>
      </w:r>
    </w:p>
    <w:p>
      <w:pPr>
        <w:spacing w:before="20" w:after="60" w:line="276" w:lineRule="auto"/>
        <w:ind w:left="360"/>
        <w:jc w:val="left"/>
      </w:pPr>
      <w:r>
        <w:rPr>
          <w:rFonts w:ascii="Calibri" w:hAnsi="Calibri"/>
          <w:b/>
          <w:i w:val="0"/>
          <w:color w:val="2B6CB0"/>
          <w:sz w:val="21"/>
        </w:rPr>
        <w:t xml:space="preserve">17.  </w:t>
      </w:r>
      <w:r>
        <w:rPr>
          <w:rFonts w:ascii="Calibri" w:hAnsi="Calibri"/>
          <w:b w:val="0"/>
          <w:i w:val="0"/>
          <w:color w:val="2D3748"/>
          <w:sz w:val="21"/>
        </w:rPr>
        <w:t>[Results and Discussion](#17-results-and-discussion)</w:t>
      </w:r>
    </w:p>
    <w:p>
      <w:pPr>
        <w:spacing w:before="20" w:after="60" w:line="276" w:lineRule="auto"/>
        <w:ind w:left="360"/>
        <w:jc w:val="left"/>
      </w:pPr>
      <w:r>
        <w:rPr>
          <w:rFonts w:ascii="Calibri" w:hAnsi="Calibri"/>
          <w:b/>
          <w:i w:val="0"/>
          <w:color w:val="2B6CB0"/>
          <w:sz w:val="21"/>
        </w:rPr>
        <w:t xml:space="preserve">18.  </w:t>
      </w:r>
      <w:r>
        <w:rPr>
          <w:rFonts w:ascii="Calibri" w:hAnsi="Calibri"/>
          <w:b w:val="0"/>
          <w:i w:val="0"/>
          <w:color w:val="2D3748"/>
          <w:sz w:val="21"/>
        </w:rPr>
        <w:t>[Limitations](#18-limitations)</w:t>
      </w:r>
    </w:p>
    <w:p>
      <w:pPr>
        <w:spacing w:before="20" w:after="60" w:line="276" w:lineRule="auto"/>
        <w:ind w:left="360"/>
        <w:jc w:val="left"/>
      </w:pPr>
      <w:r>
        <w:rPr>
          <w:rFonts w:ascii="Calibri" w:hAnsi="Calibri"/>
          <w:b/>
          <w:i w:val="0"/>
          <w:color w:val="2B6CB0"/>
          <w:sz w:val="21"/>
        </w:rPr>
        <w:t xml:space="preserve">19.  </w:t>
      </w:r>
      <w:r>
        <w:rPr>
          <w:rFonts w:ascii="Calibri" w:hAnsi="Calibri"/>
          <w:b w:val="0"/>
          <w:i w:val="0"/>
          <w:color w:val="2D3748"/>
          <w:sz w:val="21"/>
        </w:rPr>
        <w:t>[Future Scope](#19-future-scope)</w:t>
      </w:r>
    </w:p>
    <w:p>
      <w:pPr>
        <w:spacing w:before="20" w:after="60" w:line="276" w:lineRule="auto"/>
        <w:ind w:left="360"/>
        <w:jc w:val="left"/>
      </w:pPr>
      <w:r>
        <w:rPr>
          <w:rFonts w:ascii="Calibri" w:hAnsi="Calibri"/>
          <w:b/>
          <w:i w:val="0"/>
          <w:color w:val="2B6CB0"/>
          <w:sz w:val="21"/>
        </w:rPr>
        <w:t xml:space="preserve">20.  </w:t>
      </w:r>
      <w:r>
        <w:rPr>
          <w:rFonts w:ascii="Calibri" w:hAnsi="Calibri"/>
          <w:b w:val="0"/>
          <w:i w:val="0"/>
          <w:color w:val="2D3748"/>
          <w:sz w:val="21"/>
        </w:rPr>
        <w:t>[Conclusion](#20-conclusion)</w:t>
      </w:r>
    </w:p>
    <w:p>
      <w:pPr>
        <w:spacing w:before="20" w:after="60" w:line="276" w:lineRule="auto"/>
        <w:ind w:left="360"/>
        <w:jc w:val="left"/>
      </w:pPr>
      <w:r>
        <w:rPr>
          <w:rFonts w:ascii="Calibri" w:hAnsi="Calibri"/>
          <w:b/>
          <w:i w:val="0"/>
          <w:color w:val="2B6CB0"/>
          <w:sz w:val="21"/>
        </w:rPr>
        <w:t xml:space="preserve">21.  </w:t>
      </w:r>
      <w:r>
        <w:rPr>
          <w:rFonts w:ascii="Calibri" w:hAnsi="Calibri"/>
          <w:b w:val="0"/>
          <w:i w:val="0"/>
          <w:color w:val="2D3748"/>
          <w:sz w:val="21"/>
        </w:rPr>
        <w:t>[References](#21-references)</w:t>
      </w:r>
    </w:p>
    <w:p>
      <w:pPr>
        <w:spacing w:before="120" w:after="120" w:line="300" w:lineRule="auto"/>
        <w:jc w:val="center"/>
      </w:pPr>
      <w:r>
        <w:rPr>
          <w:color w:val="E2E8F0"/>
          <w:sz w:val="20"/>
        </w:rPr>
        <w:t>―――――――――――――――――――――――――――――――――――――――――――――――――――――――</w:t>
      </w:r>
    </w:p>
    <w:p>
      <w:pPr>
        <w:keepNext/>
        <w:spacing w:before="280" w:after="80" w:line="300" w:lineRule="auto"/>
        <w:jc w:val="left"/>
      </w:pPr>
      <w:r>
        <w:rPr>
          <w:rFonts w:ascii="Calibri" w:hAnsi="Calibri"/>
          <w:b/>
          <w:i w:val="0"/>
          <w:color w:val="2B6CB0"/>
          <w:sz w:val="30"/>
        </w:rPr>
        <w:t>1. COVER PAGE</w:t>
      </w:r>
    </w:p>
    <w:tbl>
      <w:tblPr>
        <w:tblW w:type="auto" w:w="0"/>
        <w:jc w:val="center"/>
        <w:tblLook w:firstColumn="1" w:firstRow="1" w:lastColumn="0" w:lastRow="0" w:noHBand="0" w:noVBand="1" w:val="04A0"/>
        <w:tblBorders>
          <w:top w:val="single" w:sz="4" w:space="0" w:color="CBD5E0"/>
          <w:bottom w:val="single" w:sz="6" w:space="0" w:color="1A365D"/>
          <w:insideH w:val="single" w:sz="4" w:space="0" w:color="CBD5E0"/>
          <w:insideV w:val="none"/>
          <w:left w:val="none"/>
          <w:right w:val="none"/>
        </w:tblBorders>
      </w:tblPr>
      <w:tblGrid>
        <w:gridCol w:w="4514"/>
        <w:gridCol w:w="4514"/>
      </w:tblGrid>
      <w:tr>
        <w:tc>
          <w:tcPr>
            <w:tcW w:type="dxa" w:w="4514"/>
            <w:tcMar>
              <w:top w:w="100" w:type="dxa"/>
              <w:bottom w:w="100" w:type="dxa"/>
              <w:left w:w="130" w:type="dxa"/>
              <w:right w:w="130" w:type="dxa"/>
            </w:tcMar>
            <w:vAlign w:val="center"/>
            <w:shd w:fill="1A365D"/>
          </w:tcPr>
          <w:p>
            <w:pPr>
              <w:spacing w:before="40" w:after="40" w:line="276" w:lineRule="auto"/>
              <w:jc w:val="left"/>
            </w:pPr>
            <w:r>
              <w:rPr>
                <w:rFonts w:ascii="Calibri" w:hAnsi="Calibri"/>
                <w:b/>
                <w:i w:val="0"/>
                <w:color w:val="FFFFFF"/>
                <w:sz w:val="19"/>
              </w:rPr>
              <w:t>Field</w:t>
            </w:r>
          </w:p>
        </w:tc>
        <w:tc>
          <w:tcPr>
            <w:tcW w:type="dxa" w:w="4514"/>
            <w:tcMar>
              <w:top w:w="100" w:type="dxa"/>
              <w:bottom w:w="100" w:type="dxa"/>
              <w:left w:w="130" w:type="dxa"/>
              <w:right w:w="130" w:type="dxa"/>
            </w:tcMar>
            <w:vAlign w:val="center"/>
            <w:shd w:fill="1A365D"/>
          </w:tcPr>
          <w:p>
            <w:pPr>
              <w:spacing w:before="40" w:after="40" w:line="276" w:lineRule="auto"/>
              <w:jc w:val="left"/>
            </w:pPr>
            <w:r>
              <w:rPr>
                <w:rFonts w:ascii="Calibri" w:hAnsi="Calibri"/>
                <w:b/>
                <w:i w:val="0"/>
                <w:color w:val="FFFFFF"/>
                <w:sz w:val="19"/>
              </w:rPr>
              <w:t>Details</w:t>
            </w:r>
          </w:p>
        </w:tc>
      </w:tr>
      <w:tr>
        <w:tc>
          <w:tcPr>
            <w:tcW w:type="dxa" w:w="4514"/>
            <w:tcMar>
              <w:top w:w="100" w:type="dxa"/>
              <w:bottom w:w="100" w:type="dxa"/>
              <w:left w:w="130" w:type="dxa"/>
              <w:right w:w="130" w:type="dxa"/>
            </w:tcMar>
            <w:vAlign w:val="center"/>
            <w:shd w:fill="FFFFFF"/>
          </w:tcPr>
          <w:p>
            <w:pPr>
              <w:spacing w:before="40" w:after="40" w:line="276" w:lineRule="auto"/>
              <w:jc w:val="left"/>
            </w:pPr>
            <w:r>
              <w:rPr>
                <w:rFonts w:ascii="Calibri" w:hAnsi="Calibri"/>
                <w:b/>
                <w:i w:val="0"/>
                <w:color w:val="2D3748"/>
                <w:sz w:val="19"/>
              </w:rPr>
              <w:t>Project Title</w:t>
            </w:r>
          </w:p>
        </w:tc>
        <w:tc>
          <w:tcPr>
            <w:tcW w:type="dxa" w:w="4514"/>
            <w:tcMar>
              <w:top w:w="100" w:type="dxa"/>
              <w:bottom w:w="100" w:type="dxa"/>
              <w:left w:w="130" w:type="dxa"/>
              <w:right w:w="130" w:type="dxa"/>
            </w:tcMar>
            <w:vAlign w:val="center"/>
            <w:shd w:fill="FFFFFF"/>
          </w:tcPr>
          <w:p>
            <w:pPr>
              <w:spacing w:before="40" w:after="40" w:line="276" w:lineRule="auto"/>
              <w:jc w:val="left"/>
            </w:pPr>
            <w:r>
              <w:rPr>
                <w:rFonts w:ascii="Calibri" w:hAnsi="Calibri"/>
                <w:b/>
                <w:i w:val="0"/>
                <w:color w:val="2D3748"/>
                <w:sz w:val="19"/>
              </w:rPr>
              <w:t>Domain Attack Surface Scanner (DASS)</w:t>
            </w:r>
          </w:p>
        </w:tc>
      </w:tr>
      <w:tr>
        <w:tc>
          <w:tcPr>
            <w:tcW w:type="dxa" w:w="4514"/>
            <w:tcMar>
              <w:top w:w="100" w:type="dxa"/>
              <w:bottom w:w="100" w:type="dxa"/>
              <w:left w:w="130" w:type="dxa"/>
              <w:right w:w="130" w:type="dxa"/>
            </w:tcMar>
            <w:vAlign w:val="center"/>
            <w:shd w:fill="F7FAFC"/>
          </w:tcPr>
          <w:p>
            <w:pPr>
              <w:spacing w:before="40" w:after="40" w:line="276" w:lineRule="auto"/>
              <w:jc w:val="left"/>
            </w:pPr>
            <w:r>
              <w:rPr>
                <w:rFonts w:ascii="Calibri" w:hAnsi="Calibri"/>
                <w:b/>
                <w:i w:val="0"/>
                <w:color w:val="2D3748"/>
                <w:sz w:val="19"/>
              </w:rPr>
              <w:t>Subtitle</w:t>
            </w:r>
          </w:p>
        </w:tc>
        <w:tc>
          <w:tcPr>
            <w:tcW w:type="dxa" w:w="4514"/>
            <w:tcMar>
              <w:top w:w="100" w:type="dxa"/>
              <w:bottom w:w="100" w:type="dxa"/>
              <w:left w:w="130" w:type="dxa"/>
              <w:right w:w="130" w:type="dxa"/>
            </w:tcMar>
            <w:vAlign w:val="center"/>
            <w:shd w:fill="F7FAFC"/>
          </w:tcPr>
          <w:p>
            <w:pPr>
              <w:spacing w:before="40" w:after="40" w:line="276" w:lineRule="auto"/>
              <w:jc w:val="left"/>
            </w:pPr>
            <w:r>
              <w:rPr>
                <w:rFonts w:ascii="Calibri" w:hAnsi="Calibri"/>
                <w:b w:val="0"/>
                <w:i w:val="0"/>
                <w:color w:val="2D3748"/>
                <w:sz w:val="19"/>
              </w:rPr>
              <w:t>A Passive, Evidence-Grounded External Attack Surface Intelligence and Posture Hygiene Platform</w:t>
            </w:r>
          </w:p>
        </w:tc>
      </w:tr>
      <w:tr>
        <w:tc>
          <w:tcPr>
            <w:tcW w:type="dxa" w:w="4514"/>
            <w:tcMar>
              <w:top w:w="100" w:type="dxa"/>
              <w:bottom w:w="100" w:type="dxa"/>
              <w:left w:w="130" w:type="dxa"/>
              <w:right w:w="130" w:type="dxa"/>
            </w:tcMar>
            <w:vAlign w:val="center"/>
            <w:shd w:fill="FFFFFF"/>
          </w:tcPr>
          <w:p>
            <w:pPr>
              <w:spacing w:before="40" w:after="40" w:line="276" w:lineRule="auto"/>
              <w:jc w:val="left"/>
            </w:pPr>
            <w:r>
              <w:rPr>
                <w:rFonts w:ascii="Calibri" w:hAnsi="Calibri"/>
                <w:b/>
                <w:i w:val="0"/>
                <w:color w:val="2D3748"/>
                <w:sz w:val="19"/>
              </w:rPr>
              <w:t>Candidate Name</w:t>
            </w:r>
          </w:p>
        </w:tc>
        <w:tc>
          <w:tcPr>
            <w:tcW w:type="dxa" w:w="4514"/>
            <w:tcMar>
              <w:top w:w="100" w:type="dxa"/>
              <w:bottom w:w="100" w:type="dxa"/>
              <w:left w:w="130" w:type="dxa"/>
              <w:right w:w="130" w:type="dxa"/>
            </w:tcMar>
            <w:vAlign w:val="center"/>
            <w:shd w:fill="FFFFFF"/>
          </w:tcPr>
          <w:p>
            <w:pPr>
              <w:spacing w:before="40" w:after="40" w:line="276" w:lineRule="auto"/>
              <w:jc w:val="left"/>
            </w:pPr>
            <w:r>
              <w:rPr>
                <w:rFonts w:ascii="Calibri" w:hAnsi="Calibri"/>
                <w:b w:val="0"/>
                <w:i w:val="0"/>
                <w:color w:val="2D3748"/>
                <w:sz w:val="19"/>
              </w:rPr>
              <w:t>Balu Annapureddy</w:t>
            </w:r>
          </w:p>
        </w:tc>
      </w:tr>
      <w:tr>
        <w:tc>
          <w:tcPr>
            <w:tcW w:type="dxa" w:w="4514"/>
            <w:tcMar>
              <w:top w:w="100" w:type="dxa"/>
              <w:bottom w:w="100" w:type="dxa"/>
              <w:left w:w="130" w:type="dxa"/>
              <w:right w:w="130" w:type="dxa"/>
            </w:tcMar>
            <w:vAlign w:val="center"/>
            <w:shd w:fill="F7FAFC"/>
          </w:tcPr>
          <w:p>
            <w:pPr>
              <w:spacing w:before="40" w:after="40" w:line="276" w:lineRule="auto"/>
              <w:jc w:val="left"/>
            </w:pPr>
            <w:r>
              <w:rPr>
                <w:rFonts w:ascii="Calibri" w:hAnsi="Calibri"/>
                <w:b/>
                <w:i w:val="0"/>
                <w:color w:val="2D3748"/>
                <w:sz w:val="19"/>
              </w:rPr>
              <w:t>Candidate ID / Roll No.</w:t>
            </w:r>
          </w:p>
        </w:tc>
        <w:tc>
          <w:tcPr>
            <w:tcW w:type="dxa" w:w="4514"/>
            <w:tcMar>
              <w:top w:w="100" w:type="dxa"/>
              <w:bottom w:w="100" w:type="dxa"/>
              <w:left w:w="130" w:type="dxa"/>
              <w:right w:w="130" w:type="dxa"/>
            </w:tcMar>
            <w:vAlign w:val="center"/>
            <w:shd w:fill="F7FAFC"/>
          </w:tcPr>
          <w:p>
            <w:pPr>
              <w:spacing w:before="40" w:after="40" w:line="276" w:lineRule="auto"/>
              <w:jc w:val="left"/>
            </w:pPr>
            <w:r>
              <w:rPr>
                <w:rFonts w:ascii="Calibri" w:hAnsi="Calibri"/>
                <w:b w:val="0"/>
                <w:i w:val="0"/>
                <w:color w:val="2D3748"/>
                <w:sz w:val="19"/>
              </w:rPr>
              <w:t>[Candidate Registration Number Placeholder]</w:t>
            </w:r>
          </w:p>
        </w:tc>
      </w:tr>
      <w:tr>
        <w:tc>
          <w:tcPr>
            <w:tcW w:type="dxa" w:w="4514"/>
            <w:tcMar>
              <w:top w:w="100" w:type="dxa"/>
              <w:bottom w:w="100" w:type="dxa"/>
              <w:left w:w="130" w:type="dxa"/>
              <w:right w:w="130" w:type="dxa"/>
            </w:tcMar>
            <w:vAlign w:val="center"/>
            <w:shd w:fill="FFFFFF"/>
          </w:tcPr>
          <w:p>
            <w:pPr>
              <w:spacing w:before="40" w:after="40" w:line="276" w:lineRule="auto"/>
              <w:jc w:val="left"/>
            </w:pPr>
            <w:r>
              <w:rPr>
                <w:rFonts w:ascii="Calibri" w:hAnsi="Calibri"/>
                <w:b/>
                <w:i w:val="0"/>
                <w:color w:val="2D3748"/>
                <w:sz w:val="19"/>
              </w:rPr>
              <w:t>Degree / Program</w:t>
            </w:r>
          </w:p>
        </w:tc>
        <w:tc>
          <w:tcPr>
            <w:tcW w:type="dxa" w:w="4514"/>
            <w:tcMar>
              <w:top w:w="100" w:type="dxa"/>
              <w:bottom w:w="100" w:type="dxa"/>
              <w:left w:w="130" w:type="dxa"/>
              <w:right w:w="130" w:type="dxa"/>
            </w:tcMar>
            <w:vAlign w:val="center"/>
            <w:shd w:fill="FFFFFF"/>
          </w:tcPr>
          <w:p>
            <w:pPr>
              <w:spacing w:before="40" w:after="40" w:line="276" w:lineRule="auto"/>
              <w:jc w:val="left"/>
            </w:pPr>
            <w:r>
              <w:rPr>
                <w:rFonts w:ascii="Calibri" w:hAnsi="Calibri"/>
                <w:b w:val="0"/>
                <w:i w:val="0"/>
                <w:color w:val="2D3748"/>
                <w:sz w:val="19"/>
              </w:rPr>
              <w:t>[Bachelor / Master of Technology in Computer Science and Engineering]</w:t>
            </w:r>
          </w:p>
        </w:tc>
      </w:tr>
      <w:tr>
        <w:tc>
          <w:tcPr>
            <w:tcW w:type="dxa" w:w="4514"/>
            <w:tcMar>
              <w:top w:w="100" w:type="dxa"/>
              <w:bottom w:w="100" w:type="dxa"/>
              <w:left w:w="130" w:type="dxa"/>
              <w:right w:w="130" w:type="dxa"/>
            </w:tcMar>
            <w:vAlign w:val="center"/>
            <w:shd w:fill="F7FAFC"/>
          </w:tcPr>
          <w:p>
            <w:pPr>
              <w:spacing w:before="40" w:after="40" w:line="276" w:lineRule="auto"/>
              <w:jc w:val="left"/>
            </w:pPr>
            <w:r>
              <w:rPr>
                <w:rFonts w:ascii="Calibri" w:hAnsi="Calibri"/>
                <w:b/>
                <w:i w:val="0"/>
                <w:color w:val="2D3748"/>
                <w:sz w:val="19"/>
              </w:rPr>
              <w:t>Department</w:t>
            </w:r>
          </w:p>
        </w:tc>
        <w:tc>
          <w:tcPr>
            <w:tcW w:type="dxa" w:w="4514"/>
            <w:tcMar>
              <w:top w:w="100" w:type="dxa"/>
              <w:bottom w:w="100" w:type="dxa"/>
              <w:left w:w="130" w:type="dxa"/>
              <w:right w:w="130" w:type="dxa"/>
            </w:tcMar>
            <w:vAlign w:val="center"/>
            <w:shd w:fill="F7FAFC"/>
          </w:tcPr>
          <w:p>
            <w:pPr>
              <w:spacing w:before="40" w:after="40" w:line="276" w:lineRule="auto"/>
              <w:jc w:val="left"/>
            </w:pPr>
            <w:r>
              <w:rPr>
                <w:rFonts w:ascii="Calibri" w:hAnsi="Calibri"/>
                <w:b w:val="0"/>
                <w:i w:val="0"/>
                <w:color w:val="2D3748"/>
                <w:sz w:val="19"/>
              </w:rPr>
              <w:t>[Department of Computer Science and Engineering / Cyber Security]</w:t>
            </w:r>
          </w:p>
        </w:tc>
      </w:tr>
      <w:tr>
        <w:tc>
          <w:tcPr>
            <w:tcW w:type="dxa" w:w="4514"/>
            <w:tcMar>
              <w:top w:w="100" w:type="dxa"/>
              <w:bottom w:w="100" w:type="dxa"/>
              <w:left w:w="130" w:type="dxa"/>
              <w:right w:w="130" w:type="dxa"/>
            </w:tcMar>
            <w:vAlign w:val="center"/>
            <w:shd w:fill="FFFFFF"/>
          </w:tcPr>
          <w:p>
            <w:pPr>
              <w:spacing w:before="40" w:after="40" w:line="276" w:lineRule="auto"/>
              <w:jc w:val="left"/>
            </w:pPr>
            <w:r>
              <w:rPr>
                <w:rFonts w:ascii="Calibri" w:hAnsi="Calibri"/>
                <w:b/>
                <w:i w:val="0"/>
                <w:color w:val="2D3748"/>
                <w:sz w:val="19"/>
              </w:rPr>
              <w:t>Institution</w:t>
            </w:r>
          </w:p>
        </w:tc>
        <w:tc>
          <w:tcPr>
            <w:tcW w:type="dxa" w:w="4514"/>
            <w:tcMar>
              <w:top w:w="100" w:type="dxa"/>
              <w:bottom w:w="100" w:type="dxa"/>
              <w:left w:w="130" w:type="dxa"/>
              <w:right w:w="130" w:type="dxa"/>
            </w:tcMar>
            <w:vAlign w:val="center"/>
            <w:shd w:fill="FFFFFF"/>
          </w:tcPr>
          <w:p>
            <w:pPr>
              <w:spacing w:before="40" w:after="40" w:line="276" w:lineRule="auto"/>
              <w:jc w:val="left"/>
            </w:pPr>
            <w:r>
              <w:rPr>
                <w:rFonts w:ascii="Calibri" w:hAnsi="Calibri"/>
                <w:b w:val="0"/>
                <w:i w:val="0"/>
                <w:color w:val="2D3748"/>
                <w:sz w:val="19"/>
              </w:rPr>
              <w:t>[College / University / Institutional Name Placeholder]</w:t>
            </w:r>
          </w:p>
        </w:tc>
      </w:tr>
      <w:tr>
        <w:tc>
          <w:tcPr>
            <w:tcW w:type="dxa" w:w="4514"/>
            <w:tcMar>
              <w:top w:w="100" w:type="dxa"/>
              <w:bottom w:w="100" w:type="dxa"/>
              <w:left w:w="130" w:type="dxa"/>
              <w:right w:w="130" w:type="dxa"/>
            </w:tcMar>
            <w:vAlign w:val="center"/>
            <w:shd w:fill="F7FAFC"/>
          </w:tcPr>
          <w:p>
            <w:pPr>
              <w:spacing w:before="40" w:after="40" w:line="276" w:lineRule="auto"/>
              <w:jc w:val="left"/>
            </w:pPr>
            <w:r>
              <w:rPr>
                <w:rFonts w:ascii="Calibri" w:hAnsi="Calibri"/>
                <w:b/>
                <w:i w:val="0"/>
                <w:color w:val="2D3748"/>
                <w:sz w:val="19"/>
              </w:rPr>
              <w:t>Supervisor / Guide</w:t>
            </w:r>
          </w:p>
        </w:tc>
        <w:tc>
          <w:tcPr>
            <w:tcW w:type="dxa" w:w="4514"/>
            <w:tcMar>
              <w:top w:w="100" w:type="dxa"/>
              <w:bottom w:w="100" w:type="dxa"/>
              <w:left w:w="130" w:type="dxa"/>
              <w:right w:w="130" w:type="dxa"/>
            </w:tcMar>
            <w:vAlign w:val="center"/>
            <w:shd w:fill="F7FAFC"/>
          </w:tcPr>
          <w:p>
            <w:pPr>
              <w:spacing w:before="40" w:after="40" w:line="276" w:lineRule="auto"/>
              <w:jc w:val="left"/>
            </w:pPr>
            <w:r>
              <w:rPr>
                <w:rFonts w:ascii="Calibri" w:hAnsi="Calibri"/>
                <w:b w:val="0"/>
                <w:i w:val="0"/>
                <w:color w:val="2D3748"/>
                <w:sz w:val="19"/>
              </w:rPr>
              <w:t>[Faculty Mentor / Project Guide Name Placeholder]</w:t>
            </w:r>
          </w:p>
        </w:tc>
      </w:tr>
      <w:tr>
        <w:tc>
          <w:tcPr>
            <w:tcW w:type="dxa" w:w="4514"/>
            <w:tcMar>
              <w:top w:w="100" w:type="dxa"/>
              <w:bottom w:w="100" w:type="dxa"/>
              <w:left w:w="130" w:type="dxa"/>
              <w:right w:w="130" w:type="dxa"/>
            </w:tcMar>
            <w:vAlign w:val="center"/>
            <w:shd w:fill="FFFFFF"/>
          </w:tcPr>
          <w:p>
            <w:pPr>
              <w:spacing w:before="40" w:after="40" w:line="276" w:lineRule="auto"/>
              <w:jc w:val="left"/>
            </w:pPr>
            <w:r>
              <w:rPr>
                <w:rFonts w:ascii="Calibri" w:hAnsi="Calibri"/>
                <w:b/>
                <w:i w:val="0"/>
                <w:color w:val="2D3748"/>
                <w:sz w:val="19"/>
              </w:rPr>
              <w:t>Submission Session</w:t>
            </w:r>
          </w:p>
        </w:tc>
        <w:tc>
          <w:tcPr>
            <w:tcW w:type="dxa" w:w="4514"/>
            <w:tcMar>
              <w:top w:w="100" w:type="dxa"/>
              <w:bottom w:w="100" w:type="dxa"/>
              <w:left w:w="130" w:type="dxa"/>
              <w:right w:w="130" w:type="dxa"/>
            </w:tcMar>
            <w:vAlign w:val="center"/>
            <w:shd w:fill="FFFFFF"/>
          </w:tcPr>
          <w:p>
            <w:pPr>
              <w:spacing w:before="40" w:after="40" w:line="276" w:lineRule="auto"/>
              <w:jc w:val="left"/>
            </w:pPr>
            <w:r>
              <w:rPr>
                <w:rFonts w:ascii="Calibri" w:hAnsi="Calibri"/>
                <w:b w:val="0"/>
                <w:i w:val="0"/>
                <w:color w:val="2D3748"/>
                <w:sz w:val="19"/>
              </w:rPr>
              <w:t>Academic Year 2025 – 2026</w:t>
            </w:r>
          </w:p>
        </w:tc>
      </w:tr>
      <w:tr>
        <w:tc>
          <w:tcPr>
            <w:tcW w:type="dxa" w:w="4514"/>
            <w:tcMar>
              <w:top w:w="100" w:type="dxa"/>
              <w:bottom w:w="100" w:type="dxa"/>
              <w:left w:w="130" w:type="dxa"/>
              <w:right w:w="130" w:type="dxa"/>
            </w:tcMar>
            <w:vAlign w:val="center"/>
            <w:shd w:fill="F7FAFC"/>
          </w:tcPr>
          <w:p>
            <w:pPr>
              <w:spacing w:before="40" w:after="40" w:line="276" w:lineRule="auto"/>
              <w:jc w:val="left"/>
            </w:pPr>
            <w:r>
              <w:rPr>
                <w:rFonts w:ascii="Calibri" w:hAnsi="Calibri"/>
                <w:b/>
                <w:i w:val="0"/>
                <w:color w:val="2D3748"/>
                <w:sz w:val="19"/>
              </w:rPr>
              <w:t>Document Classification</w:t>
            </w:r>
          </w:p>
        </w:tc>
        <w:tc>
          <w:tcPr>
            <w:tcW w:type="dxa" w:w="4514"/>
            <w:tcMar>
              <w:top w:w="100" w:type="dxa"/>
              <w:bottom w:w="100" w:type="dxa"/>
              <w:left w:w="130" w:type="dxa"/>
              <w:right w:w="130" w:type="dxa"/>
            </w:tcMar>
            <w:vAlign w:val="center"/>
            <w:shd w:fill="F7FAFC"/>
          </w:tcPr>
          <w:p>
            <w:pPr>
              <w:spacing w:before="40" w:after="40" w:line="276" w:lineRule="auto"/>
              <w:jc w:val="left"/>
            </w:pPr>
            <w:r>
              <w:rPr>
                <w:rFonts w:ascii="Calibri" w:hAnsi="Calibri"/>
                <w:b w:val="0"/>
                <w:i w:val="0"/>
                <w:color w:val="2D3748"/>
                <w:sz w:val="19"/>
              </w:rPr>
              <w:t>Capstone Technical Project Report / Academic Submission</w:t>
            </w:r>
          </w:p>
        </w:tc>
      </w:tr>
    </w:tbl>
    <w:p>
      <w:pPr>
        <w:spacing w:after="80"/>
      </w:pPr>
    </w:p>
    <w:p>
      <w:pPr>
        <w:spacing w:before="120" w:after="120" w:line="300" w:lineRule="auto"/>
        <w:jc w:val="center"/>
      </w:pPr>
      <w:r>
        <w:rPr>
          <w:color w:val="E2E8F0"/>
          <w:sz w:val="20"/>
        </w:rPr>
        <w:t>―――――――――――――――――――――――――――――――――――――――――――――――――――――――</w:t>
      </w:r>
    </w:p>
    <w:p>
      <w:pPr>
        <w:keepNext/>
        <w:spacing w:before="280" w:after="80" w:line="300" w:lineRule="auto"/>
        <w:jc w:val="left"/>
      </w:pPr>
      <w:r>
        <w:rPr>
          <w:rFonts w:ascii="Calibri" w:hAnsi="Calibri"/>
          <w:b/>
          <w:i w:val="0"/>
          <w:color w:val="2B6CB0"/>
          <w:sz w:val="30"/>
        </w:rPr>
        <w:t>2. ABSTRACT</w:t>
      </w:r>
    </w:p>
    <w:p>
      <w:pPr>
        <w:spacing w:before="40" w:after="120" w:line="300" w:lineRule="auto"/>
        <w:jc w:val="both"/>
      </w:pPr>
      <w:r>
        <w:rPr>
          <w:rFonts w:ascii="Calibri" w:hAnsi="Calibri"/>
          <w:b w:val="0"/>
          <w:i w:val="0"/>
          <w:color w:val="2D3748"/>
          <w:sz w:val="22"/>
        </w:rPr>
        <w:t xml:space="preserve">Modern organizational IT infrastructure is characterized by rapid decentralization, widespread multi-cloud adoption, third-party software integrations, and continuous web service provisioning. While this evolution accelerates product velocity, it unintentionally expands the organization's </w:t>
      </w:r>
      <w:r>
        <w:rPr>
          <w:rFonts w:ascii="Calibri" w:hAnsi="Calibri"/>
          <w:b/>
          <w:i w:val="0"/>
          <w:color w:val="2D3748"/>
          <w:sz w:val="22"/>
        </w:rPr>
        <w:t>External Attack Surface</w:t>
      </w:r>
      <w:r>
        <w:rPr>
          <w:rFonts w:ascii="Calibri" w:hAnsi="Calibri"/>
          <w:b w:val="0"/>
          <w:i w:val="0"/>
          <w:color w:val="2D3748"/>
          <w:sz w:val="22"/>
        </w:rPr>
        <w:t>—the collection of all internet-facing digital assets, exposed IP addresses, DNS records, public cloud buckets, and web interfaces visible to external entities. Traditional approaches to identifying perimeter risks predominantly rely on intrusive active vulnerability scanners or manual penetration testing. These conventional methodologies require explicit authorization, risk service disruptions, generate substantial network noise, and fail to distinguish between actively verified vulnerabilities and unobserved configurations.</w:t>
      </w:r>
    </w:p>
    <w:p>
      <w:pPr>
        <w:spacing w:before="40" w:after="120" w:line="300" w:lineRule="auto"/>
        <w:jc w:val="both"/>
      </w:pPr>
      <w:r>
        <w:rPr>
          <w:rFonts w:ascii="Calibri" w:hAnsi="Calibri"/>
          <w:b w:val="0"/>
          <w:i w:val="0"/>
          <w:color w:val="2D3748"/>
          <w:sz w:val="22"/>
        </w:rPr>
        <w:t xml:space="preserve">To address these challenges, this project introduces the </w:t>
      </w:r>
      <w:r>
        <w:rPr>
          <w:rFonts w:ascii="Calibri" w:hAnsi="Calibri"/>
          <w:b/>
          <w:i w:val="0"/>
          <w:color w:val="2D3748"/>
          <w:sz w:val="22"/>
        </w:rPr>
        <w:t>Domain Attack Surface Scanner (DASS)</w:t>
      </w:r>
      <w:r>
        <w:rPr>
          <w:rFonts w:ascii="Calibri" w:hAnsi="Calibri"/>
          <w:b w:val="0"/>
          <w:i w:val="0"/>
          <w:color w:val="2D3748"/>
          <w:sz w:val="22"/>
        </w:rPr>
        <w:t>, an authorized, fully passive external attack-surface intelligence workstation and automated configuration hygiene assessment system. Built as a full-stack TypeScript workspace utilizing Node.js, Express, React, and Vite, DASS maps an organization's public-facing digital footprint through non-intrusive intelligence aggregation. The system queries authoritative Domain Name System (DNS) resolvers, public Certificate Transparency (CT) logs, TLS handshake parameters, HTTP response headers, Border Gateway Protocol (BGP) Autonomous System Number (ASN) routing tables, and passive exposure registries such as the Shodan InternetDB.</w:t>
      </w:r>
    </w:p>
    <w:p>
      <w:pPr>
        <w:spacing w:before="40" w:after="120" w:line="300" w:lineRule="auto"/>
        <w:jc w:val="both"/>
      </w:pPr>
      <w:r>
        <w:rPr>
          <w:rFonts w:ascii="Calibri" w:hAnsi="Calibri"/>
          <w:b w:val="0"/>
          <w:i w:val="0"/>
          <w:color w:val="2D3748"/>
          <w:sz w:val="22"/>
        </w:rPr>
        <w:t xml:space="preserve">Crucially, DASS introduces an </w:t>
      </w:r>
      <w:r>
        <w:rPr>
          <w:rFonts w:ascii="Calibri" w:hAnsi="Calibri"/>
          <w:b/>
          <w:i w:val="0"/>
          <w:color w:val="2D3748"/>
          <w:sz w:val="22"/>
        </w:rPr>
        <w:t>epistemically safe</w:t>
      </w:r>
      <w:r>
        <w:rPr>
          <w:rFonts w:ascii="Calibri" w:hAnsi="Calibri"/>
          <w:b w:val="0"/>
          <w:i w:val="0"/>
          <w:color w:val="2D3748"/>
          <w:sz w:val="22"/>
        </w:rPr>
        <w:t xml:space="preserve">, deterministic, and explainable </w:t>
      </w:r>
      <w:r>
        <w:rPr>
          <w:rFonts w:ascii="Calibri" w:hAnsi="Calibri"/>
          <w:b/>
          <w:i w:val="0"/>
          <w:color w:val="2D3748"/>
          <w:sz w:val="22"/>
        </w:rPr>
        <w:t>External Hygiene Score (0–100)</w:t>
      </w:r>
      <w:r>
        <w:rPr>
          <w:rFonts w:ascii="Calibri" w:hAnsi="Calibri"/>
          <w:b w:val="0"/>
          <w:i w:val="0"/>
          <w:color w:val="2D3748"/>
          <w:sz w:val="22"/>
        </w:rPr>
        <w:t xml:space="preserve"> structured across six core dimensions: TLS Hygiene, HTTPS Enforcement, Web Security Headers, Email Security (SPF and DMARC), DNSSEC Hygiene, and Network Exposure. Unlike heuristic "black box" security ratings, DASS adheres to strict epistemic safety: absent or failed provider checks never result in negative point deductions, ensuring incomplete intelligence is never conflated with confirmed configuration vulnerability. The platform normalizes discovered assets into an interconnected knowledge graph, generates structured 10-section analytical findings with actionable remediation advice, and renders high-density telemetry across dark/light editorial workstation interfaces, interactive SVG relationship graphs, and geographical Leaflet infrastructure maps. Rigorous automated testing—comprising 26 test files and 222 passed tests across server and client workspaces—validates the platform's accuracy, Server-Side Request Forgery (SSRF) boundary protections, and rate-limiting quotas. DASS provides a safe, transparent, and reproducible alternative for cybersecurity students, researchers, and defensive security engineers seeking rigorous visibility into external internet exposure.</w:t>
      </w:r>
    </w:p>
    <w:p>
      <w:pPr>
        <w:spacing w:before="120" w:after="120" w:line="300" w:lineRule="auto"/>
        <w:jc w:val="center"/>
      </w:pPr>
      <w:r>
        <w:rPr>
          <w:color w:val="E2E8F0"/>
          <w:sz w:val="20"/>
        </w:rPr>
        <w:t>―――――――――――――――――――――――――――――――――――――――――――――――――――――――</w:t>
      </w:r>
    </w:p>
    <w:p>
      <w:pPr>
        <w:keepNext/>
        <w:spacing w:before="280" w:after="80" w:line="300" w:lineRule="auto"/>
        <w:jc w:val="left"/>
      </w:pPr>
      <w:r>
        <w:rPr>
          <w:rFonts w:ascii="Calibri" w:hAnsi="Calibri"/>
          <w:b/>
          <w:i w:val="0"/>
          <w:color w:val="2B6CB0"/>
          <w:sz w:val="30"/>
        </w:rPr>
        <w:t>3. INTRODUCTION</w:t>
      </w:r>
    </w:p>
    <w:p>
      <w:pPr>
        <w:keepNext/>
        <w:spacing w:before="200" w:after="60" w:line="300" w:lineRule="auto"/>
        <w:jc w:val="left"/>
      </w:pPr>
      <w:r>
        <w:rPr>
          <w:rFonts w:ascii="Calibri" w:hAnsi="Calibri"/>
          <w:b/>
          <w:i w:val="0"/>
          <w:color w:val="2C5282"/>
          <w:sz w:val="25"/>
        </w:rPr>
        <w:t>3.1 Background of External Attack Surface Intelligence</w:t>
      </w:r>
    </w:p>
    <w:p>
      <w:pPr>
        <w:spacing w:before="40" w:after="120" w:line="300" w:lineRule="auto"/>
        <w:jc w:val="both"/>
      </w:pPr>
      <w:r>
        <w:rPr>
          <w:rFonts w:ascii="Calibri" w:hAnsi="Calibri"/>
          <w:b w:val="0"/>
          <w:i w:val="0"/>
          <w:color w:val="2D3748"/>
          <w:sz w:val="22"/>
        </w:rPr>
        <w:t>In modern enterprise networks, the perimeter is no longer defined by a static physical firewall or private demilitarized zone (DMZ). Modern digital footprints encompass dynamic domain portfolios, ephemeral cloud compute instances, Content Delivery Network (CDN) edge distributions, third-party Software-as-a-Service (SaaS) delegates, and hybrid infrastructure scattered across multiple cloud service providers. Consequently, an organization's true attack surface comprises all publicly accessible hardware, software, cloud resources, and network entry points that process, store, or transmit organizational data.</w:t>
      </w:r>
    </w:p>
    <w:p>
      <w:pPr>
        <w:spacing w:before="40" w:after="120" w:line="300" w:lineRule="auto"/>
        <w:jc w:val="both"/>
      </w:pPr>
      <w:r>
        <w:rPr>
          <w:rFonts w:ascii="Calibri" w:hAnsi="Calibri"/>
          <w:b w:val="0"/>
          <w:i w:val="0"/>
          <w:color w:val="2D3748"/>
          <w:sz w:val="22"/>
        </w:rPr>
        <w:t>External Attack Surface Management (EASM) has emerged as an essential discipline within defensive cybersecurity. EASM refers to the continuous discovery, analysis, and management of the risks associated with an organization's internet-facing digital assets. Unlike internal vulnerability management—which assesses authenticated assets behind firewalls—EASM assumes the perspective of an external observer, evaluating exactly what an adversary or security researcher can observe across the public internet using publicly accessible telemetry.</w:t>
      </w:r>
    </w:p>
    <w:p>
      <w:pPr>
        <w:keepNext/>
        <w:spacing w:before="200" w:after="60" w:line="300" w:lineRule="auto"/>
        <w:jc w:val="left"/>
      </w:pPr>
      <w:r>
        <w:rPr>
          <w:rFonts w:ascii="Calibri" w:hAnsi="Calibri"/>
          <w:b/>
          <w:i w:val="0"/>
          <w:color w:val="2C5282"/>
          <w:sz w:val="25"/>
        </w:rPr>
        <w:t>3.2 Why Organizations Require Visibility into Observable Assets</w:t>
      </w:r>
    </w:p>
    <w:p>
      <w:pPr>
        <w:spacing w:before="40" w:after="120" w:line="300" w:lineRule="auto"/>
        <w:jc w:val="both"/>
      </w:pPr>
      <w:r>
        <w:rPr>
          <w:rFonts w:ascii="Calibri" w:hAnsi="Calibri"/>
          <w:b w:val="0"/>
          <w:i w:val="0"/>
          <w:color w:val="2D3748"/>
          <w:sz w:val="22"/>
        </w:rPr>
        <w:t>Organizations routinely suffer security incidents not from sophisticated zero-day exploits on hardened core systems, but from overlooked administrative interfaces, legacy subdomains, misconfigured mail records, or forgotten staging servers—commonly categorized as "Shadow IT." Key drivers for external asset visibility include:</w:t>
      </w:r>
    </w:p>
    <w:p>
      <w:pPr>
        <w:spacing w:before="20" w:after="60" w:line="276" w:lineRule="auto"/>
        <w:ind w:left="360"/>
        <w:jc w:val="left"/>
      </w:pPr>
      <w:r>
        <w:rPr>
          <w:rFonts w:ascii="Calibri" w:hAnsi="Calibri"/>
          <w:b/>
          <w:i w:val="0"/>
          <w:color w:val="2B6CB0"/>
          <w:sz w:val="21"/>
        </w:rPr>
        <w:t xml:space="preserve">1.  </w:t>
      </w:r>
      <w:r>
        <w:rPr>
          <w:rFonts w:ascii="Calibri" w:hAnsi="Calibri"/>
          <w:b/>
          <w:i w:val="0"/>
          <w:color w:val="2D3748"/>
          <w:sz w:val="21"/>
        </w:rPr>
        <w:t>Asset Sprawl and Shadow IT:</w:t>
      </w:r>
      <w:r>
        <w:rPr>
          <w:rFonts w:ascii="Calibri" w:hAnsi="Calibri"/>
          <w:b w:val="0"/>
          <w:i w:val="0"/>
          <w:color w:val="2D3748"/>
          <w:sz w:val="21"/>
        </w:rPr>
        <w:t xml:space="preserve"> Development teams frequently deploy temporary proof-of-concept environments or cloud instances that remain active and unmonitored long after their intended decommission date.</w:t>
      </w:r>
    </w:p>
    <w:p>
      <w:pPr>
        <w:spacing w:before="20" w:after="60" w:line="276" w:lineRule="auto"/>
        <w:ind w:left="360"/>
        <w:jc w:val="left"/>
      </w:pPr>
      <w:r>
        <w:rPr>
          <w:rFonts w:ascii="Calibri" w:hAnsi="Calibri"/>
          <w:b/>
          <w:i w:val="0"/>
          <w:color w:val="2B6CB0"/>
          <w:sz w:val="21"/>
        </w:rPr>
        <w:t xml:space="preserve">2.  </w:t>
      </w:r>
      <w:r>
        <w:rPr>
          <w:rFonts w:ascii="Calibri" w:hAnsi="Calibri"/>
          <w:b/>
          <w:i w:val="0"/>
          <w:color w:val="2D3748"/>
          <w:sz w:val="21"/>
        </w:rPr>
        <w:t>DNS and Email Hijacking Risks:</w:t>
      </w:r>
      <w:r>
        <w:rPr>
          <w:rFonts w:ascii="Calibri" w:hAnsi="Calibri"/>
          <w:b w:val="0"/>
          <w:i w:val="0"/>
          <w:color w:val="2D3748"/>
          <w:sz w:val="21"/>
        </w:rPr>
        <w:t xml:space="preserve"> Missing or weakly configured email authentication records (Sender Policy Framework / SPF and Domain-based Message Authentication, Reporting, and Conformance / DMARC) allow malicious actors to spoof company domains in phishing campaigns.</w:t>
      </w:r>
    </w:p>
    <w:p>
      <w:pPr>
        <w:spacing w:before="20" w:after="60" w:line="276" w:lineRule="auto"/>
        <w:ind w:left="360"/>
        <w:jc w:val="left"/>
      </w:pPr>
      <w:r>
        <w:rPr>
          <w:rFonts w:ascii="Calibri" w:hAnsi="Calibri"/>
          <w:b/>
          <w:i w:val="0"/>
          <w:color w:val="2B6CB0"/>
          <w:sz w:val="21"/>
        </w:rPr>
        <w:t xml:space="preserve">3.  </w:t>
      </w:r>
      <w:r>
        <w:rPr>
          <w:rFonts w:ascii="Calibri" w:hAnsi="Calibri"/>
          <w:b/>
          <w:i w:val="0"/>
          <w:color w:val="2D3748"/>
          <w:sz w:val="21"/>
        </w:rPr>
        <w:t>Certificate Expiration Outages:</w:t>
      </w:r>
      <w:r>
        <w:rPr>
          <w:rFonts w:ascii="Calibri" w:hAnsi="Calibri"/>
          <w:b w:val="0"/>
          <w:i w:val="0"/>
          <w:color w:val="2D3748"/>
          <w:sz w:val="21"/>
        </w:rPr>
        <w:t xml:space="preserve"> Overlooked Transport Layer Security (TLS) certificates disrupt production services and trigger browser security warnings that damage consumer trust.</w:t>
      </w:r>
    </w:p>
    <w:p>
      <w:pPr>
        <w:spacing w:before="20" w:after="60" w:line="276" w:lineRule="auto"/>
        <w:ind w:left="360"/>
        <w:jc w:val="left"/>
      </w:pPr>
      <w:r>
        <w:rPr>
          <w:rFonts w:ascii="Calibri" w:hAnsi="Calibri"/>
          <w:b/>
          <w:i w:val="0"/>
          <w:color w:val="2B6CB0"/>
          <w:sz w:val="21"/>
        </w:rPr>
        <w:t xml:space="preserve">4.  </w:t>
      </w:r>
      <w:r>
        <w:rPr>
          <w:rFonts w:ascii="Calibri" w:hAnsi="Calibri"/>
          <w:b/>
          <w:i w:val="0"/>
          <w:color w:val="2D3748"/>
          <w:sz w:val="21"/>
        </w:rPr>
        <w:t>Transport Layer Degradation:</w:t>
      </w:r>
      <w:r>
        <w:rPr>
          <w:rFonts w:ascii="Calibri" w:hAnsi="Calibri"/>
          <w:b w:val="0"/>
          <w:i w:val="0"/>
          <w:color w:val="2D3748"/>
          <w:sz w:val="21"/>
        </w:rPr>
        <w:t xml:space="preserve"> Websites that fail to enforce strict HTTPS redirects or omit modern HTTP security headers expose end users to man-in-the-middle (MitM) eavesdropping, clickjacking, and cross-site scripting (XSS) attacks.</w:t>
      </w:r>
    </w:p>
    <w:p>
      <w:pPr>
        <w:keepNext/>
        <w:spacing w:before="200" w:after="60" w:line="300" w:lineRule="auto"/>
        <w:jc w:val="left"/>
      </w:pPr>
      <w:r>
        <w:rPr>
          <w:rFonts w:ascii="Calibri" w:hAnsi="Calibri"/>
          <w:b/>
          <w:i w:val="0"/>
          <w:color w:val="2C5282"/>
          <w:sz w:val="25"/>
        </w:rPr>
        <w:t>3.3 Limitations of Traditional Active Vulnerability Scanning</w:t>
      </w:r>
    </w:p>
    <w:p>
      <w:pPr>
        <w:spacing w:before="40" w:after="120" w:line="300" w:lineRule="auto"/>
        <w:jc w:val="both"/>
      </w:pPr>
      <w:r>
        <w:rPr>
          <w:rFonts w:ascii="Calibri" w:hAnsi="Calibri"/>
          <w:b w:val="0"/>
          <w:i w:val="0"/>
          <w:color w:val="2D3748"/>
          <w:sz w:val="22"/>
        </w:rPr>
        <w:t>For decades, organizations have relied on active vulnerability scanners (e.g., Nessus, Qualys, OpenVAS, or aggressive Nmap scripts) to discover perimeter risks. However, when applied to external attack surface discovery, active scanning exhibits major structural limitations:</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Intrusive Network Footprint:</w:t>
      </w:r>
      <w:r>
        <w:rPr>
          <w:rFonts w:ascii="Calibri" w:hAnsi="Calibri"/>
          <w:b w:val="0"/>
          <w:i w:val="0"/>
          <w:color w:val="2D3748"/>
          <w:sz w:val="21"/>
        </w:rPr>
        <w:t xml:space="preserve"> Active scanners send thousands of crafted network packets, port sweeps, directory fuzzing requests, and simulated exploit payloads. This can trigger Web Application Firewall (WAF) blocks, corrupt sensitive back-end state, saturate network links, or accidentally crash brittle legacy services.</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Authorization and Legal Constraints:</w:t>
      </w:r>
      <w:r>
        <w:rPr>
          <w:rFonts w:ascii="Calibri" w:hAnsi="Calibri"/>
          <w:b w:val="0"/>
          <w:i w:val="0"/>
          <w:color w:val="2D3748"/>
          <w:sz w:val="21"/>
        </w:rPr>
        <w:t xml:space="preserve"> Because active scanning resembles malicious probing, it requires strict, prior written authorization. Conducting unauthorized active scans across third-party cloud assets frequently violates Cloud Service Provider Acceptable Use Policies and computer misuse legislation.</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Opacity and Double Counting:</w:t>
      </w:r>
      <w:r>
        <w:rPr>
          <w:rFonts w:ascii="Calibri" w:hAnsi="Calibri"/>
          <w:b w:val="0"/>
          <w:i w:val="0"/>
          <w:color w:val="2D3748"/>
          <w:sz w:val="21"/>
        </w:rPr>
        <w:t xml:space="preserve"> Many commercial scanners output proprietary numerical scores without revealing the mathematical derivation or weighting factors, leaving security teams unable to explain why a specific score was assigned.</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Conflation of Unavailability with Vulnerability:</w:t>
      </w:r>
      <w:r>
        <w:rPr>
          <w:rFonts w:ascii="Calibri" w:hAnsi="Calibri"/>
          <w:b w:val="0"/>
          <w:i w:val="0"/>
          <w:color w:val="2D3748"/>
          <w:sz w:val="21"/>
        </w:rPr>
        <w:t xml:space="preserve"> When a network probe times out or is blocked by an intermediate firewall, flawed scanners frequently infer that a security control is missing, issuing false-positive vulnerability alerts.</w:t>
      </w:r>
    </w:p>
    <w:p>
      <w:pPr>
        <w:keepNext/>
        <w:spacing w:before="200" w:after="60" w:line="300" w:lineRule="auto"/>
        <w:jc w:val="left"/>
      </w:pPr>
      <w:r>
        <w:rPr>
          <w:rFonts w:ascii="Calibri" w:hAnsi="Calibri"/>
          <w:b/>
          <w:i w:val="0"/>
          <w:color w:val="2C5282"/>
          <w:sz w:val="25"/>
        </w:rPr>
        <w:t>3.4 Motivation for Domain Attack Surface Scanner (DASS)</w:t>
      </w:r>
    </w:p>
    <w:p>
      <w:pPr>
        <w:spacing w:before="40" w:after="120" w:line="300" w:lineRule="auto"/>
        <w:jc w:val="both"/>
      </w:pPr>
      <w:r>
        <w:rPr>
          <w:rFonts w:ascii="Calibri" w:hAnsi="Calibri"/>
          <w:b w:val="0"/>
          <w:i w:val="0"/>
          <w:color w:val="2D3748"/>
          <w:sz w:val="22"/>
        </w:rPr>
        <w:t>The motivation behind DASS is to provide an educational, transparent, and mathematically rigorous security workstation that accomplishes comprehensive perimeter reconnaissance without sending hostile or intrusive traffic. By leveraging public registries, cryptographic Certificate Transparency (CT) logs, passive DNS enumeration, and standard TLS/HTTP handshakes, DASS delivers high-fidelity visibility into an organization's external posture while remaining safe, legal, and respectful of target infrastructure.</w:t>
      </w:r>
    </w:p>
    <w:p>
      <w:pPr>
        <w:keepNext/>
        <w:spacing w:before="200" w:after="60" w:line="300" w:lineRule="auto"/>
        <w:jc w:val="left"/>
      </w:pPr>
      <w:r>
        <w:rPr>
          <w:rFonts w:ascii="Calibri" w:hAnsi="Calibri"/>
          <w:b/>
          <w:i w:val="0"/>
          <w:color w:val="2C5282"/>
          <w:sz w:val="25"/>
        </w:rPr>
        <w:t>3.5 Project Scope</w:t>
      </w:r>
    </w:p>
    <w:p>
      <w:pPr>
        <w:spacing w:before="40" w:after="120" w:line="300" w:lineRule="auto"/>
        <w:jc w:val="both"/>
      </w:pPr>
      <w:r>
        <w:rPr>
          <w:rFonts w:ascii="Calibri" w:hAnsi="Calibri"/>
          <w:b w:val="0"/>
          <w:i w:val="0"/>
          <w:color w:val="2D3748"/>
          <w:sz w:val="22"/>
        </w:rPr>
        <w:t xml:space="preserve">DASS is explicitly scoped as an </w:t>
      </w:r>
      <w:r>
        <w:rPr>
          <w:rFonts w:ascii="Calibri" w:hAnsi="Calibri"/>
          <w:b/>
          <w:i w:val="0"/>
          <w:color w:val="2D3748"/>
          <w:sz w:val="22"/>
        </w:rPr>
        <w:t>authorized passive intelligence platform</w:t>
      </w:r>
      <w:r>
        <w:rPr>
          <w:rFonts w:ascii="Calibri" w:hAnsi="Calibri"/>
          <w:b w:val="0"/>
          <w:i w:val="0"/>
          <w:color w:val="2D3748"/>
          <w:sz w:val="22"/>
        </w:rPr>
        <w:t>. It aims to:</w:t>
      </w:r>
    </w:p>
    <w:p>
      <w:pPr>
        <w:spacing w:before="20" w:after="60" w:line="276" w:lineRule="auto"/>
        <w:ind w:left="360"/>
        <w:jc w:val="left"/>
      </w:pPr>
      <w:r>
        <w:rPr>
          <w:rFonts w:ascii="Calibri" w:hAnsi="Calibri"/>
          <w:b/>
          <w:i w:val="0"/>
          <w:color w:val="2B6CB0"/>
          <w:sz w:val="18"/>
        </w:rPr>
        <w:t xml:space="preserve">▪  </w:t>
      </w:r>
      <w:r>
        <w:rPr>
          <w:rFonts w:ascii="Calibri" w:hAnsi="Calibri"/>
          <w:b w:val="0"/>
          <w:i w:val="0"/>
          <w:color w:val="2D3748"/>
          <w:sz w:val="21"/>
        </w:rPr>
        <w:t>Enumerate DNS records, subdomains, IP addresses, nameservers, and mail exchangers.</w:t>
      </w:r>
    </w:p>
    <w:p>
      <w:pPr>
        <w:spacing w:before="20" w:after="60" w:line="276" w:lineRule="auto"/>
        <w:ind w:left="360"/>
        <w:jc w:val="left"/>
      </w:pPr>
      <w:r>
        <w:rPr>
          <w:rFonts w:ascii="Calibri" w:hAnsi="Calibri"/>
          <w:b/>
          <w:i w:val="0"/>
          <w:color w:val="2B6CB0"/>
          <w:sz w:val="18"/>
        </w:rPr>
        <w:t xml:space="preserve">▪  </w:t>
      </w:r>
      <w:r>
        <w:rPr>
          <w:rFonts w:ascii="Calibri" w:hAnsi="Calibri"/>
          <w:b w:val="0"/>
          <w:i w:val="0"/>
          <w:color w:val="2D3748"/>
          <w:sz w:val="21"/>
        </w:rPr>
        <w:t>Evaluate cryptographic TLS certificates, cipher validity, and expiration timelines.</w:t>
      </w:r>
    </w:p>
    <w:p>
      <w:pPr>
        <w:spacing w:before="20" w:after="60" w:line="276" w:lineRule="auto"/>
        <w:ind w:left="360"/>
        <w:jc w:val="left"/>
      </w:pPr>
      <w:r>
        <w:rPr>
          <w:rFonts w:ascii="Calibri" w:hAnsi="Calibri"/>
          <w:b/>
          <w:i w:val="0"/>
          <w:color w:val="2B6CB0"/>
          <w:sz w:val="18"/>
        </w:rPr>
        <w:t xml:space="preserve">▪  </w:t>
      </w:r>
      <w:r>
        <w:rPr>
          <w:rFonts w:ascii="Calibri" w:hAnsi="Calibri"/>
          <w:b w:val="0"/>
          <w:i w:val="0"/>
          <w:color w:val="2D3748"/>
          <w:sz w:val="21"/>
        </w:rPr>
        <w:t>Audit transport security (HTTP-to-HTTPS enforcement) and defensive HTTP response headers.</w:t>
      </w:r>
    </w:p>
    <w:p>
      <w:pPr>
        <w:spacing w:before="20" w:after="60" w:line="276" w:lineRule="auto"/>
        <w:ind w:left="360"/>
        <w:jc w:val="left"/>
      </w:pPr>
      <w:r>
        <w:rPr>
          <w:rFonts w:ascii="Calibri" w:hAnsi="Calibri"/>
          <w:b/>
          <w:i w:val="0"/>
          <w:color w:val="2B6CB0"/>
          <w:sz w:val="18"/>
        </w:rPr>
        <w:t xml:space="preserve">▪  </w:t>
      </w:r>
      <w:r>
        <w:rPr>
          <w:rFonts w:ascii="Calibri" w:hAnsi="Calibri"/>
          <w:b w:val="0"/>
          <w:i w:val="0"/>
          <w:color w:val="2D3748"/>
          <w:sz w:val="21"/>
        </w:rPr>
        <w:t>Inspect email authentication postures (SPF, DKIM selectors, DMARC policies).</w:t>
      </w:r>
    </w:p>
    <w:p>
      <w:pPr>
        <w:spacing w:before="20" w:after="60" w:line="276" w:lineRule="auto"/>
        <w:ind w:left="360"/>
        <w:jc w:val="left"/>
      </w:pPr>
      <w:r>
        <w:rPr>
          <w:rFonts w:ascii="Calibri" w:hAnsi="Calibri"/>
          <w:b/>
          <w:i w:val="0"/>
          <w:color w:val="2B6CB0"/>
          <w:sz w:val="18"/>
        </w:rPr>
        <w:t xml:space="preserve">▪  </w:t>
      </w:r>
      <w:r>
        <w:rPr>
          <w:rFonts w:ascii="Calibri" w:hAnsi="Calibri"/>
          <w:b w:val="0"/>
          <w:i w:val="0"/>
          <w:color w:val="2D3748"/>
          <w:sz w:val="21"/>
        </w:rPr>
        <w:t>Verify DNSSEC authentication chains.</w:t>
      </w:r>
    </w:p>
    <w:p>
      <w:pPr>
        <w:spacing w:before="20" w:after="60" w:line="276" w:lineRule="auto"/>
        <w:ind w:left="360"/>
        <w:jc w:val="left"/>
      </w:pPr>
      <w:r>
        <w:rPr>
          <w:rFonts w:ascii="Calibri" w:hAnsi="Calibri"/>
          <w:b/>
          <w:i w:val="0"/>
          <w:color w:val="2B6CB0"/>
          <w:sz w:val="18"/>
        </w:rPr>
        <w:t xml:space="preserve">▪  </w:t>
      </w:r>
      <w:r>
        <w:rPr>
          <w:rFonts w:ascii="Calibri" w:hAnsi="Calibri"/>
          <w:b w:val="0"/>
          <w:i w:val="0"/>
          <w:color w:val="2D3748"/>
          <w:sz w:val="21"/>
        </w:rPr>
        <w:t>Correlate public IP addresses with Autonomous System Numbers (ASNs), BGP routing prefixes, organizations, and approximate geographic locations.</w:t>
      </w:r>
    </w:p>
    <w:p>
      <w:pPr>
        <w:spacing w:before="20" w:after="60" w:line="276" w:lineRule="auto"/>
        <w:ind w:left="360"/>
        <w:jc w:val="left"/>
      </w:pPr>
      <w:r>
        <w:rPr>
          <w:rFonts w:ascii="Calibri" w:hAnsi="Calibri"/>
          <w:b/>
          <w:i w:val="0"/>
          <w:color w:val="2B6CB0"/>
          <w:sz w:val="18"/>
        </w:rPr>
        <w:t xml:space="preserve">▪  </w:t>
      </w:r>
      <w:r>
        <w:rPr>
          <w:rFonts w:ascii="Calibri" w:hAnsi="Calibri"/>
          <w:b w:val="0"/>
          <w:i w:val="0"/>
          <w:color w:val="2D3748"/>
          <w:sz w:val="21"/>
        </w:rPr>
        <w:t>Aggregate passive threat intelligence from Shodan InternetDB (open ports, CPEs, known CVEs) without executing direct port scans.</w:t>
      </w:r>
    </w:p>
    <w:p>
      <w:pPr>
        <w:spacing w:before="20" w:after="60" w:line="276" w:lineRule="auto"/>
        <w:ind w:left="360"/>
        <w:jc w:val="left"/>
      </w:pPr>
      <w:r>
        <w:rPr>
          <w:rFonts w:ascii="Calibri" w:hAnsi="Calibri"/>
          <w:b/>
          <w:i w:val="0"/>
          <w:color w:val="2B6CB0"/>
          <w:sz w:val="18"/>
        </w:rPr>
        <w:t xml:space="preserve">▪  </w:t>
      </w:r>
      <w:r>
        <w:rPr>
          <w:rFonts w:ascii="Calibri" w:hAnsi="Calibri"/>
          <w:b w:val="0"/>
          <w:i w:val="0"/>
          <w:color w:val="2D3748"/>
          <w:sz w:val="21"/>
        </w:rPr>
        <w:t>Synthesize all collected signals into an interconnected asset-relationship graph and compute an explainable, deterministic External Hygiene Score (0–100).</w:t>
      </w:r>
    </w:p>
    <w:p>
      <w:pPr>
        <w:spacing w:before="20" w:after="60" w:line="276" w:lineRule="auto"/>
        <w:ind w:left="360"/>
        <w:jc w:val="left"/>
      </w:pPr>
      <w:r>
        <w:rPr>
          <w:rFonts w:ascii="Calibri" w:hAnsi="Calibri"/>
          <w:b/>
          <w:i w:val="0"/>
          <w:color w:val="2B6CB0"/>
          <w:sz w:val="18"/>
        </w:rPr>
        <w:t xml:space="preserve">▪  </w:t>
      </w:r>
      <w:r>
        <w:rPr>
          <w:rFonts w:ascii="Calibri" w:hAnsi="Calibri"/>
          <w:b w:val="0"/>
          <w:i w:val="0"/>
          <w:color w:val="2D3748"/>
          <w:sz w:val="21"/>
        </w:rPr>
        <w:t>Provide an audit-ready, editorial "field report" workstation interface equipped with dark/light themes, asset graphs, routing chains, and comparison diffs.</w:t>
      </w:r>
    </w:p>
    <w:p>
      <w:pPr>
        <w:spacing w:before="120" w:after="120" w:line="300" w:lineRule="auto"/>
        <w:jc w:val="center"/>
      </w:pPr>
      <w:r>
        <w:rPr>
          <w:color w:val="E2E8F0"/>
          <w:sz w:val="20"/>
        </w:rPr>
        <w:t>―――――――――――――――――――――――――――――――――――――――――――――――――――――――</w:t>
      </w:r>
    </w:p>
    <w:p>
      <w:pPr>
        <w:keepNext/>
        <w:spacing w:before="280" w:after="80" w:line="300" w:lineRule="auto"/>
        <w:jc w:val="left"/>
      </w:pPr>
      <w:r>
        <w:rPr>
          <w:rFonts w:ascii="Calibri" w:hAnsi="Calibri"/>
          <w:b/>
          <w:i w:val="0"/>
          <w:color w:val="2B6CB0"/>
          <w:sz w:val="30"/>
        </w:rPr>
        <w:t>4. PROBLEM STATEMENT</w:t>
      </w:r>
    </w:p>
    <w:p>
      <w:pPr>
        <w:spacing w:before="40" w:after="120" w:line="300" w:lineRule="auto"/>
        <w:jc w:val="both"/>
      </w:pPr>
      <w:r>
        <w:rPr>
          <w:rFonts w:ascii="Calibri" w:hAnsi="Calibri"/>
          <w:b w:val="0"/>
          <w:i w:val="0"/>
          <w:color w:val="2D3748"/>
          <w:sz w:val="22"/>
        </w:rPr>
        <w:t>Organizations operating on the modern internet face an increasingly fractured and opaque attack surface. Specifically:</w:t>
      </w:r>
    </w:p>
    <w:p>
      <w:pPr>
        <w:spacing w:before="20" w:after="60" w:line="276" w:lineRule="auto"/>
        <w:ind w:left="360"/>
        <w:jc w:val="left"/>
      </w:pPr>
      <w:r>
        <w:rPr>
          <w:rFonts w:ascii="Calibri" w:hAnsi="Calibri"/>
          <w:b/>
          <w:i w:val="0"/>
          <w:color w:val="2B6CB0"/>
          <w:sz w:val="21"/>
        </w:rPr>
        <w:t xml:space="preserve">1.  </w:t>
      </w:r>
      <w:r>
        <w:rPr>
          <w:rFonts w:ascii="Calibri" w:hAnsi="Calibri"/>
          <w:b/>
          <w:i w:val="0"/>
          <w:color w:val="2D3748"/>
          <w:sz w:val="21"/>
        </w:rPr>
        <w:t>Fragmented Perimeter Intelligence:</w:t>
      </w:r>
      <w:r>
        <w:rPr>
          <w:rFonts w:ascii="Calibri" w:hAnsi="Calibri"/>
          <w:b w:val="0"/>
          <w:i w:val="0"/>
          <w:color w:val="2D3748"/>
          <w:sz w:val="21"/>
        </w:rPr>
        <w:t xml:space="preserve"> External assets are distributed across multiple registrars, DNS hosting providers, and cloud environments. Security teams lack a consolidated view uniting domain registration, DNS delegation, certificate issuance, and routing topology.</w:t>
      </w:r>
    </w:p>
    <w:p>
      <w:pPr>
        <w:spacing w:before="20" w:after="60" w:line="276" w:lineRule="auto"/>
        <w:ind w:left="360"/>
        <w:jc w:val="left"/>
      </w:pPr>
      <w:r>
        <w:rPr>
          <w:rFonts w:ascii="Calibri" w:hAnsi="Calibri"/>
          <w:b/>
          <w:i w:val="0"/>
          <w:color w:val="2B6CB0"/>
          <w:sz w:val="21"/>
        </w:rPr>
        <w:t xml:space="preserve">2.  </w:t>
      </w:r>
      <w:r>
        <w:rPr>
          <w:rFonts w:ascii="Calibri" w:hAnsi="Calibri"/>
          <w:b/>
          <w:i w:val="0"/>
          <w:color w:val="2D3748"/>
          <w:sz w:val="21"/>
        </w:rPr>
        <w:t>Silent Configuration Degradation:</w:t>
      </w:r>
      <w:r>
        <w:rPr>
          <w:rFonts w:ascii="Calibri" w:hAnsi="Calibri"/>
          <w:b w:val="0"/>
          <w:i w:val="0"/>
          <w:color w:val="2D3748"/>
          <w:sz w:val="21"/>
        </w:rPr>
        <w:t xml:space="preserve"> Defensive controls such as HTTP Strict Transport Security (HSTS), Content Security Policy (CSP), SPF, and DMARC require active maintenance. Organizations rarely detect when a DNS migration accidentally drops an SPF record or when a TLS certificate enters its final week before expiration.</w:t>
      </w:r>
    </w:p>
    <w:p>
      <w:pPr>
        <w:spacing w:before="20" w:after="60" w:line="276" w:lineRule="auto"/>
        <w:ind w:left="360"/>
        <w:jc w:val="left"/>
      </w:pPr>
      <w:r>
        <w:rPr>
          <w:rFonts w:ascii="Calibri" w:hAnsi="Calibri"/>
          <w:b/>
          <w:i w:val="0"/>
          <w:color w:val="2B6CB0"/>
          <w:sz w:val="21"/>
        </w:rPr>
        <w:t xml:space="preserve">3.  </w:t>
      </w:r>
      <w:r>
        <w:rPr>
          <w:rFonts w:ascii="Calibri" w:hAnsi="Calibri"/>
          <w:b/>
          <w:i w:val="0"/>
          <w:color w:val="2D3748"/>
          <w:sz w:val="21"/>
        </w:rPr>
        <w:t>Black-Box Scoring and Arbitrary Deductions:</w:t>
      </w:r>
      <w:r>
        <w:rPr>
          <w:rFonts w:ascii="Calibri" w:hAnsi="Calibri"/>
          <w:b w:val="0"/>
          <w:i w:val="0"/>
          <w:color w:val="2D3748"/>
          <w:sz w:val="21"/>
        </w:rPr>
        <w:t xml:space="preserve"> Existing vulnerability scanners and commercial rating agencies compute proprietary scores using undisclosed algorithms. Security teams cannot audit how individual findings translate into point deductions, creating friction during executive reporting and remediation planning.</w:t>
      </w:r>
    </w:p>
    <w:p>
      <w:pPr>
        <w:spacing w:before="20" w:after="60" w:line="276" w:lineRule="auto"/>
        <w:ind w:left="360"/>
        <w:jc w:val="left"/>
      </w:pPr>
      <w:r>
        <w:rPr>
          <w:rFonts w:ascii="Calibri" w:hAnsi="Calibri"/>
          <w:b/>
          <w:i w:val="0"/>
          <w:color w:val="2B6CB0"/>
          <w:sz w:val="21"/>
        </w:rPr>
        <w:t xml:space="preserve">4.  </w:t>
      </w:r>
      <w:r>
        <w:rPr>
          <w:rFonts w:ascii="Calibri" w:hAnsi="Calibri"/>
          <w:b/>
          <w:i w:val="0"/>
          <w:color w:val="2D3748"/>
          <w:sz w:val="21"/>
        </w:rPr>
        <w:t>Epistemic Errors in Automated Auditing:</w:t>
      </w:r>
      <w:r>
        <w:rPr>
          <w:rFonts w:ascii="Calibri" w:hAnsi="Calibri"/>
          <w:b w:val="0"/>
          <w:i w:val="0"/>
          <w:color w:val="2D3748"/>
          <w:sz w:val="21"/>
        </w:rPr>
        <w:t xml:space="preserve"> Conventional automated scanners routinely penalize targets when external APIs fail, rate limits are hit, or probes time out. Conflating an incomplete test with confirmed non-compliance produces misleading metrics.</w:t>
      </w:r>
    </w:p>
    <w:p>
      <w:pPr>
        <w:spacing w:before="20" w:after="60" w:line="276" w:lineRule="auto"/>
        <w:ind w:left="360"/>
        <w:jc w:val="left"/>
      </w:pPr>
      <w:r>
        <w:rPr>
          <w:rFonts w:ascii="Calibri" w:hAnsi="Calibri"/>
          <w:b/>
          <w:i w:val="0"/>
          <w:color w:val="2B6CB0"/>
          <w:sz w:val="21"/>
        </w:rPr>
        <w:t xml:space="preserve">5.  </w:t>
      </w:r>
      <w:r>
        <w:rPr>
          <w:rFonts w:ascii="Calibri" w:hAnsi="Calibri"/>
          <w:b/>
          <w:i w:val="0"/>
          <w:color w:val="2D3748"/>
          <w:sz w:val="21"/>
        </w:rPr>
        <w:t>Intrusive Operational Risk:</w:t>
      </w:r>
      <w:r>
        <w:rPr>
          <w:rFonts w:ascii="Calibri" w:hAnsi="Calibri"/>
          <w:b w:val="0"/>
          <w:i w:val="0"/>
          <w:color w:val="2D3748"/>
          <w:sz w:val="21"/>
        </w:rPr>
        <w:t xml:space="preserve"> Defensive practitioners, students, and compliance auditors lack non-invasive tools to assess organizational attack surfaces without triggering intrusion alarms or risking operational downtime.</w:t>
      </w:r>
    </w:p>
    <w:p>
      <w:pPr>
        <w:spacing w:before="40" w:after="120" w:line="300" w:lineRule="auto"/>
        <w:jc w:val="both"/>
      </w:pPr>
      <w:r>
        <w:rPr>
          <w:rFonts w:ascii="Calibri" w:hAnsi="Calibri"/>
          <w:b w:val="0"/>
          <w:i w:val="0"/>
          <w:color w:val="2D3748"/>
          <w:sz w:val="22"/>
        </w:rPr>
        <w:t>DASS directly addresses these problems by providing an open, passive, evidence-driven workstation that correlates external signals into a unified graph and applies an explainable, epistemically sound scoring rubric.</w:t>
      </w:r>
    </w:p>
    <w:p>
      <w:pPr>
        <w:spacing w:before="120" w:after="120" w:line="300" w:lineRule="auto"/>
        <w:jc w:val="center"/>
      </w:pPr>
      <w:r>
        <w:rPr>
          <w:color w:val="E2E8F0"/>
          <w:sz w:val="20"/>
        </w:rPr>
        <w:t>―――――――――――――――――――――――――――――――――――――――――――――――――――――――</w:t>
      </w:r>
    </w:p>
    <w:p>
      <w:pPr>
        <w:keepNext/>
        <w:spacing w:before="280" w:after="80" w:line="300" w:lineRule="auto"/>
        <w:jc w:val="left"/>
      </w:pPr>
      <w:r>
        <w:rPr>
          <w:rFonts w:ascii="Calibri" w:hAnsi="Calibri"/>
          <w:b/>
          <w:i w:val="0"/>
          <w:color w:val="2B6CB0"/>
          <w:sz w:val="30"/>
        </w:rPr>
        <w:t>5. OBJECTIVES</w:t>
      </w:r>
    </w:p>
    <w:p>
      <w:pPr>
        <w:spacing w:before="40" w:after="120" w:line="300" w:lineRule="auto"/>
        <w:jc w:val="both"/>
      </w:pPr>
      <w:r>
        <w:rPr>
          <w:rFonts w:ascii="Calibri" w:hAnsi="Calibri"/>
          <w:b w:val="0"/>
          <w:i w:val="0"/>
          <w:color w:val="2D3748"/>
          <w:sz w:val="22"/>
        </w:rPr>
        <w:t>The specific, verifiable objectives accomplished by DASS include:</w:t>
      </w:r>
    </w:p>
    <w:p>
      <w:pPr>
        <w:spacing w:before="20" w:after="60" w:line="276" w:lineRule="auto"/>
        <w:ind w:left="360"/>
        <w:jc w:val="left"/>
      </w:pPr>
      <w:r>
        <w:rPr>
          <w:rFonts w:ascii="Calibri" w:hAnsi="Calibri"/>
          <w:b/>
          <w:i w:val="0"/>
          <w:color w:val="2B6CB0"/>
          <w:sz w:val="21"/>
        </w:rPr>
        <w:t xml:space="preserve">1.  </w:t>
      </w:r>
      <w:r>
        <w:rPr>
          <w:rFonts w:ascii="Calibri" w:hAnsi="Calibri"/>
          <w:b/>
          <w:i w:val="0"/>
          <w:color w:val="2D3748"/>
          <w:sz w:val="21"/>
        </w:rPr>
        <w:t>Passive Subdomain and Asset Discovery:</w:t>
      </w:r>
      <w:r>
        <w:rPr>
          <w:rFonts w:ascii="Calibri" w:hAnsi="Calibri"/>
          <w:b w:val="0"/>
          <w:i w:val="0"/>
          <w:color w:val="2D3748"/>
          <w:sz w:val="21"/>
        </w:rPr>
        <w:t xml:space="preserve"> Implement non-intrusive asset discovery by mining public Certificate Transparency logs (crt.sh) and authoritative DNS records without dictionary brute-forcing.</w:t>
      </w:r>
    </w:p>
    <w:p>
      <w:pPr>
        <w:spacing w:before="20" w:after="60" w:line="276" w:lineRule="auto"/>
        <w:ind w:left="360"/>
        <w:jc w:val="left"/>
      </w:pPr>
      <w:r>
        <w:rPr>
          <w:rFonts w:ascii="Calibri" w:hAnsi="Calibri"/>
          <w:b/>
          <w:i w:val="0"/>
          <w:color w:val="2B6CB0"/>
          <w:sz w:val="21"/>
        </w:rPr>
        <w:t xml:space="preserve">2.  </w:t>
      </w:r>
      <w:r>
        <w:rPr>
          <w:rFonts w:ascii="Calibri" w:hAnsi="Calibri"/>
          <w:b/>
          <w:i w:val="0"/>
          <w:color w:val="2D3748"/>
          <w:sz w:val="21"/>
        </w:rPr>
        <w:t>Authoritative DNS and Email Audit:</w:t>
      </w:r>
      <w:r>
        <w:rPr>
          <w:rFonts w:ascii="Calibri" w:hAnsi="Calibri"/>
          <w:b w:val="0"/>
          <w:i w:val="0"/>
          <w:color w:val="2D3748"/>
          <w:sz w:val="21"/>
        </w:rPr>
        <w:t xml:space="preserve"> Systematically resolve and parse DNS resource records (A, AAAA, MX, TXT, NS, CNAME, CAA) and evaluate email defenses (SPF syntax, DKIM selectors, and DMARC enforcement).</w:t>
      </w:r>
    </w:p>
    <w:p>
      <w:pPr>
        <w:spacing w:before="20" w:after="60" w:line="276" w:lineRule="auto"/>
        <w:ind w:left="360"/>
        <w:jc w:val="left"/>
      </w:pPr>
      <w:r>
        <w:rPr>
          <w:rFonts w:ascii="Calibri" w:hAnsi="Calibri"/>
          <w:b/>
          <w:i w:val="0"/>
          <w:color w:val="2B6CB0"/>
          <w:sz w:val="21"/>
        </w:rPr>
        <w:t xml:space="preserve">3.  </w:t>
      </w:r>
      <w:r>
        <w:rPr>
          <w:rFonts w:ascii="Calibri" w:hAnsi="Calibri"/>
          <w:b/>
          <w:i w:val="0"/>
          <w:color w:val="2D3748"/>
          <w:sz w:val="21"/>
        </w:rPr>
        <w:t>Cryptographic TLS and Transport Verification:</w:t>
      </w:r>
      <w:r>
        <w:rPr>
          <w:rFonts w:ascii="Calibri" w:hAnsi="Calibri"/>
          <w:b w:val="0"/>
          <w:i w:val="0"/>
          <w:color w:val="2D3748"/>
          <w:sz w:val="21"/>
        </w:rPr>
        <w:t xml:space="preserve"> Conduct passive TLS handshakes to extract certificate chains, subject alternative names (SANs), cipher suites, signature algorithms, and precise expiration dates.</w:t>
      </w:r>
    </w:p>
    <w:p>
      <w:pPr>
        <w:spacing w:before="20" w:after="60" w:line="276" w:lineRule="auto"/>
        <w:ind w:left="360"/>
        <w:jc w:val="left"/>
      </w:pPr>
      <w:r>
        <w:rPr>
          <w:rFonts w:ascii="Calibri" w:hAnsi="Calibri"/>
          <w:b/>
          <w:i w:val="0"/>
          <w:color w:val="2B6CB0"/>
          <w:sz w:val="21"/>
        </w:rPr>
        <w:t xml:space="preserve">4.  </w:t>
      </w:r>
      <w:r>
        <w:rPr>
          <w:rFonts w:ascii="Calibri" w:hAnsi="Calibri"/>
          <w:b/>
          <w:i w:val="0"/>
          <w:color w:val="2D3748"/>
          <w:sz w:val="21"/>
        </w:rPr>
        <w:t>Web Perimeter Defense Auditing:</w:t>
      </w:r>
      <w:r>
        <w:rPr>
          <w:rFonts w:ascii="Calibri" w:hAnsi="Calibri"/>
          <w:b w:val="0"/>
          <w:i w:val="0"/>
          <w:color w:val="2D3748"/>
          <w:sz w:val="21"/>
        </w:rPr>
        <w:t xml:space="preserve"> Validate HTTP-to-HTTPS redirect behaviors and audit the presence and syntax of five essential HTTP security headers (HSTS, CSP, X-Content-Type-Options, X-Frame-Options, and Referrer-Policy).</w:t>
      </w:r>
    </w:p>
    <w:p>
      <w:pPr>
        <w:spacing w:before="20" w:after="60" w:line="276" w:lineRule="auto"/>
        <w:ind w:left="360"/>
        <w:jc w:val="left"/>
      </w:pPr>
      <w:r>
        <w:rPr>
          <w:rFonts w:ascii="Calibri" w:hAnsi="Calibri"/>
          <w:b/>
          <w:i w:val="0"/>
          <w:color w:val="2B6CB0"/>
          <w:sz w:val="21"/>
        </w:rPr>
        <w:t xml:space="preserve">5.  </w:t>
      </w:r>
      <w:r>
        <w:rPr>
          <w:rFonts w:ascii="Calibri" w:hAnsi="Calibri"/>
          <w:b/>
          <w:i w:val="0"/>
          <w:color w:val="2D3748"/>
          <w:sz w:val="21"/>
        </w:rPr>
        <w:t>BGP Routing and Geolocation Correlation:</w:t>
      </w:r>
      <w:r>
        <w:rPr>
          <w:rFonts w:ascii="Calibri" w:hAnsi="Calibri"/>
          <w:b w:val="0"/>
          <w:i w:val="0"/>
          <w:color w:val="2D3748"/>
          <w:sz w:val="21"/>
        </w:rPr>
        <w:t xml:space="preserve"> Query IP intelligence APIs to map IP addresses to Autonomous System Numbers (ASNs), operating organizations, and approximate geographical coordinates.</w:t>
      </w:r>
    </w:p>
    <w:p>
      <w:pPr>
        <w:spacing w:before="20" w:after="60" w:line="276" w:lineRule="auto"/>
        <w:ind w:left="360"/>
        <w:jc w:val="left"/>
      </w:pPr>
      <w:r>
        <w:rPr>
          <w:rFonts w:ascii="Calibri" w:hAnsi="Calibri"/>
          <w:b/>
          <w:i w:val="0"/>
          <w:color w:val="2B6CB0"/>
          <w:sz w:val="21"/>
        </w:rPr>
        <w:t xml:space="preserve">6.  </w:t>
      </w:r>
      <w:r>
        <w:rPr>
          <w:rFonts w:ascii="Calibri" w:hAnsi="Calibri"/>
          <w:b/>
          <w:i w:val="0"/>
          <w:color w:val="2D3748"/>
          <w:sz w:val="21"/>
        </w:rPr>
        <w:t>Passive Exposure and CVE Enrichment:</w:t>
      </w:r>
      <w:r>
        <w:rPr>
          <w:rFonts w:ascii="Calibri" w:hAnsi="Calibri"/>
          <w:b w:val="0"/>
          <w:i w:val="0"/>
          <w:color w:val="2D3748"/>
          <w:sz w:val="21"/>
        </w:rPr>
        <w:t xml:space="preserve"> Integrate the Shodan InternetDB to detect public exposed services and correlate documented Common Vulnerabilities and Exposures (CVEs) without executing active port sweeps.</w:t>
      </w:r>
    </w:p>
    <w:p>
      <w:pPr>
        <w:spacing w:before="20" w:after="60" w:line="276" w:lineRule="auto"/>
        <w:ind w:left="360"/>
        <w:jc w:val="left"/>
      </w:pPr>
      <w:r>
        <w:rPr>
          <w:rFonts w:ascii="Calibri" w:hAnsi="Calibri"/>
          <w:b/>
          <w:i w:val="0"/>
          <w:color w:val="2B6CB0"/>
          <w:sz w:val="21"/>
        </w:rPr>
        <w:t xml:space="preserve">7.  </w:t>
      </w:r>
      <w:r>
        <w:rPr>
          <w:rFonts w:ascii="Calibri" w:hAnsi="Calibri"/>
          <w:b/>
          <w:i w:val="0"/>
          <w:color w:val="2D3748"/>
          <w:sz w:val="21"/>
        </w:rPr>
        <w:t>Asset Normalization and Relationship Graphing:</w:t>
      </w:r>
      <w:r>
        <w:rPr>
          <w:rFonts w:ascii="Calibri" w:hAnsi="Calibri"/>
          <w:b w:val="0"/>
          <w:i w:val="0"/>
          <w:color w:val="2D3748"/>
          <w:sz w:val="21"/>
        </w:rPr>
        <w:t xml:space="preserve"> Normalize all discovered entities into typed assets (</w:t>
      </w:r>
      <w:r>
        <w:rPr>
          <w:rFonts w:ascii="Consolas" w:hAnsi="Consolas"/>
          <w:b w:val="0"/>
          <w:i w:val="0"/>
          <w:color w:val="2C5282"/>
          <w:sz w:val="19"/>
        </w:rPr>
        <w:t>DOMAIN</w:t>
      </w:r>
      <w:r>
        <w:rPr>
          <w:rFonts w:ascii="Calibri" w:hAnsi="Calibri"/>
          <w:b w:val="0"/>
          <w:i w:val="0"/>
          <w:color w:val="2D3748"/>
          <w:sz w:val="21"/>
        </w:rPr>
        <w:t xml:space="preserve">, </w:t>
      </w:r>
      <w:r>
        <w:rPr>
          <w:rFonts w:ascii="Consolas" w:hAnsi="Consolas"/>
          <w:b w:val="0"/>
          <w:i w:val="0"/>
          <w:color w:val="2C5282"/>
          <w:sz w:val="19"/>
        </w:rPr>
        <w:t>SUBDOMAIN</w:t>
      </w:r>
      <w:r>
        <w:rPr>
          <w:rFonts w:ascii="Calibri" w:hAnsi="Calibri"/>
          <w:b w:val="0"/>
          <w:i w:val="0"/>
          <w:color w:val="2D3748"/>
          <w:sz w:val="21"/>
        </w:rPr>
        <w:t xml:space="preserve">, </w:t>
      </w:r>
      <w:r>
        <w:rPr>
          <w:rFonts w:ascii="Consolas" w:hAnsi="Consolas"/>
          <w:b w:val="0"/>
          <w:i w:val="0"/>
          <w:color w:val="2C5282"/>
          <w:sz w:val="19"/>
        </w:rPr>
        <w:t>IP</w:t>
      </w:r>
      <w:r>
        <w:rPr>
          <w:rFonts w:ascii="Calibri" w:hAnsi="Calibri"/>
          <w:b w:val="0"/>
          <w:i w:val="0"/>
          <w:color w:val="2D3748"/>
          <w:sz w:val="21"/>
        </w:rPr>
        <w:t xml:space="preserve">, </w:t>
      </w:r>
      <w:r>
        <w:rPr>
          <w:rFonts w:ascii="Consolas" w:hAnsi="Consolas"/>
          <w:b w:val="0"/>
          <w:i w:val="0"/>
          <w:color w:val="2C5282"/>
          <w:sz w:val="19"/>
        </w:rPr>
        <w:t>ASN</w:t>
      </w:r>
      <w:r>
        <w:rPr>
          <w:rFonts w:ascii="Calibri" w:hAnsi="Calibri"/>
          <w:b w:val="0"/>
          <w:i w:val="0"/>
          <w:color w:val="2D3748"/>
          <w:sz w:val="21"/>
        </w:rPr>
        <w:t xml:space="preserve">, </w:t>
      </w:r>
      <w:r>
        <w:rPr>
          <w:rFonts w:ascii="Consolas" w:hAnsi="Consolas"/>
          <w:b w:val="0"/>
          <w:i w:val="0"/>
          <w:color w:val="2C5282"/>
          <w:sz w:val="19"/>
        </w:rPr>
        <w:t>ORGANIZATION</w:t>
      </w:r>
      <w:r>
        <w:rPr>
          <w:rFonts w:ascii="Calibri" w:hAnsi="Calibri"/>
          <w:b w:val="0"/>
          <w:i w:val="0"/>
          <w:color w:val="2D3748"/>
          <w:sz w:val="21"/>
        </w:rPr>
        <w:t xml:space="preserve">, </w:t>
      </w:r>
      <w:r>
        <w:rPr>
          <w:rFonts w:ascii="Consolas" w:hAnsi="Consolas"/>
          <w:b w:val="0"/>
          <w:i w:val="0"/>
          <w:color w:val="2C5282"/>
          <w:sz w:val="19"/>
        </w:rPr>
        <w:t>NAMESERVER</w:t>
      </w:r>
      <w:r>
        <w:rPr>
          <w:rFonts w:ascii="Calibri" w:hAnsi="Calibri"/>
          <w:b w:val="0"/>
          <w:i w:val="0"/>
          <w:color w:val="2D3748"/>
          <w:sz w:val="21"/>
        </w:rPr>
        <w:t xml:space="preserve">, </w:t>
      </w:r>
      <w:r>
        <w:rPr>
          <w:rFonts w:ascii="Consolas" w:hAnsi="Consolas"/>
          <w:b w:val="0"/>
          <w:i w:val="0"/>
          <w:color w:val="2C5282"/>
          <w:sz w:val="19"/>
        </w:rPr>
        <w:t>MAIL_SERVER</w:t>
      </w:r>
      <w:r>
        <w:rPr>
          <w:rFonts w:ascii="Calibri" w:hAnsi="Calibri"/>
          <w:b w:val="0"/>
          <w:i w:val="0"/>
          <w:color w:val="2D3748"/>
          <w:sz w:val="21"/>
        </w:rPr>
        <w:t xml:space="preserve">, </w:t>
      </w:r>
      <w:r>
        <w:rPr>
          <w:rFonts w:ascii="Consolas" w:hAnsi="Consolas"/>
          <w:b w:val="0"/>
          <w:i w:val="0"/>
          <w:color w:val="2C5282"/>
          <w:sz w:val="19"/>
        </w:rPr>
        <w:t>CERTIFICATE</w:t>
      </w:r>
      <w:r>
        <w:rPr>
          <w:rFonts w:ascii="Calibri" w:hAnsi="Calibri"/>
          <w:b w:val="0"/>
          <w:i w:val="0"/>
          <w:color w:val="2D3748"/>
          <w:sz w:val="21"/>
        </w:rPr>
        <w:t>) and link them via directed relationships (</w:t>
      </w:r>
      <w:r>
        <w:rPr>
          <w:rFonts w:ascii="Consolas" w:hAnsi="Consolas"/>
          <w:b w:val="0"/>
          <w:i w:val="0"/>
          <w:color w:val="2C5282"/>
          <w:sz w:val="19"/>
        </w:rPr>
        <w:t>resolves_to</w:t>
      </w:r>
      <w:r>
        <w:rPr>
          <w:rFonts w:ascii="Calibri" w:hAnsi="Calibri"/>
          <w:b w:val="0"/>
          <w:i w:val="0"/>
          <w:color w:val="2D3748"/>
          <w:sz w:val="21"/>
        </w:rPr>
        <w:t xml:space="preserve">, </w:t>
      </w:r>
      <w:r>
        <w:rPr>
          <w:rFonts w:ascii="Consolas" w:hAnsi="Consolas"/>
          <w:b w:val="0"/>
          <w:i w:val="0"/>
          <w:color w:val="2C5282"/>
          <w:sz w:val="19"/>
        </w:rPr>
        <w:t>belongs_to_asn</w:t>
      </w:r>
      <w:r>
        <w:rPr>
          <w:rFonts w:ascii="Calibri" w:hAnsi="Calibri"/>
          <w:b w:val="0"/>
          <w:i w:val="0"/>
          <w:color w:val="2D3748"/>
          <w:sz w:val="21"/>
        </w:rPr>
        <w:t xml:space="preserve">, </w:t>
      </w:r>
      <w:r>
        <w:rPr>
          <w:rFonts w:ascii="Consolas" w:hAnsi="Consolas"/>
          <w:b w:val="0"/>
          <w:i w:val="0"/>
          <w:color w:val="2C5282"/>
          <w:sz w:val="19"/>
        </w:rPr>
        <w:t>secured_by</w:t>
      </w:r>
      <w:r>
        <w:rPr>
          <w:rFonts w:ascii="Calibri" w:hAnsi="Calibri"/>
          <w:b w:val="0"/>
          <w:i w:val="0"/>
          <w:color w:val="2D3748"/>
          <w:sz w:val="21"/>
        </w:rPr>
        <w:t>, etc.).</w:t>
      </w:r>
    </w:p>
    <w:p>
      <w:pPr>
        <w:spacing w:before="20" w:after="60" w:line="276" w:lineRule="auto"/>
        <w:ind w:left="360"/>
        <w:jc w:val="left"/>
      </w:pPr>
      <w:r>
        <w:rPr>
          <w:rFonts w:ascii="Calibri" w:hAnsi="Calibri"/>
          <w:b/>
          <w:i w:val="0"/>
          <w:color w:val="2B6CB0"/>
          <w:sz w:val="21"/>
        </w:rPr>
        <w:t xml:space="preserve">8.  </w:t>
      </w:r>
      <w:r>
        <w:rPr>
          <w:rFonts w:ascii="Calibri" w:hAnsi="Calibri"/>
          <w:b/>
          <w:i w:val="0"/>
          <w:color w:val="2D3748"/>
          <w:sz w:val="21"/>
        </w:rPr>
        <w:t>Deterministic Hygiene Scoring:</w:t>
      </w:r>
      <w:r>
        <w:rPr>
          <w:rFonts w:ascii="Calibri" w:hAnsi="Calibri"/>
          <w:b w:val="0"/>
          <w:i w:val="0"/>
          <w:color w:val="2D3748"/>
          <w:sz w:val="21"/>
        </w:rPr>
        <w:t xml:space="preserve"> Design and implement a transparent, single-pass 0–100 External Hygiene Score governed by strict epistemic safety, explicit dimension caps, and deterministic observation logging.</w:t>
      </w:r>
    </w:p>
    <w:p>
      <w:pPr>
        <w:spacing w:before="20" w:after="60" w:line="276" w:lineRule="auto"/>
        <w:ind w:left="360"/>
        <w:jc w:val="left"/>
      </w:pPr>
      <w:r>
        <w:rPr>
          <w:rFonts w:ascii="Calibri" w:hAnsi="Calibri"/>
          <w:b/>
          <w:i w:val="0"/>
          <w:color w:val="2B6CB0"/>
          <w:sz w:val="21"/>
        </w:rPr>
        <w:t xml:space="preserve">9.  </w:t>
      </w:r>
      <w:r>
        <w:rPr>
          <w:rFonts w:ascii="Calibri" w:hAnsi="Calibri"/>
          <w:b/>
          <w:i w:val="0"/>
          <w:color w:val="2D3748"/>
          <w:sz w:val="21"/>
        </w:rPr>
        <w:t>Editorial Workstation User Interface:</w:t>
      </w:r>
      <w:r>
        <w:rPr>
          <w:rFonts w:ascii="Calibri" w:hAnsi="Calibri"/>
          <w:b w:val="0"/>
          <w:i w:val="0"/>
          <w:color w:val="2D3748"/>
          <w:sz w:val="21"/>
        </w:rPr>
        <w:t xml:space="preserve"> Construct a responsive, high-density React workstation featuring dark and light editorial themes, SVG graph visualizers, Leaflet geographic maps, and printer-ready audit dossiers.</w:t>
      </w:r>
    </w:p>
    <w:p>
      <w:pPr>
        <w:spacing w:before="20" w:after="60" w:line="276" w:lineRule="auto"/>
        <w:ind w:left="360"/>
        <w:jc w:val="left"/>
      </w:pPr>
      <w:r>
        <w:rPr>
          <w:rFonts w:ascii="Calibri" w:hAnsi="Calibri"/>
          <w:b/>
          <w:i w:val="0"/>
          <w:color w:val="2B6CB0"/>
          <w:sz w:val="21"/>
        </w:rPr>
        <w:t xml:space="preserve">10.  </w:t>
      </w:r>
      <w:r>
        <w:rPr>
          <w:rFonts w:ascii="Calibri" w:hAnsi="Calibri"/>
          <w:b/>
          <w:i w:val="0"/>
          <w:color w:val="2D3748"/>
          <w:sz w:val="21"/>
        </w:rPr>
        <w:t>Hardened Security and Data Minimization:</w:t>
      </w:r>
      <w:r>
        <w:rPr>
          <w:rFonts w:ascii="Calibri" w:hAnsi="Calibri"/>
          <w:b w:val="0"/>
          <w:i w:val="0"/>
          <w:color w:val="2D3748"/>
          <w:sz w:val="21"/>
        </w:rPr>
        <w:t xml:space="preserve"> Enforce strict Server-Side Request Forgery (SSRF) boundary protections, private CIDR filtering, sliding-window quotas, Scrypt password hashing, and zero-cookie anonymous scanning.</w:t>
      </w:r>
    </w:p>
    <w:p>
      <w:pPr>
        <w:spacing w:before="120" w:after="120" w:line="300" w:lineRule="auto"/>
        <w:jc w:val="center"/>
      </w:pPr>
      <w:r>
        <w:rPr>
          <w:color w:val="E2E8F0"/>
          <w:sz w:val="20"/>
        </w:rPr>
        <w:t>―――――――――――――――――――――――――――――――――――――――――――――――――――――――</w:t>
      </w:r>
    </w:p>
    <w:p>
      <w:pPr>
        <w:keepNext/>
        <w:spacing w:before="280" w:after="80" w:line="300" w:lineRule="auto"/>
        <w:jc w:val="left"/>
      </w:pPr>
      <w:r>
        <w:rPr>
          <w:rFonts w:ascii="Calibri" w:hAnsi="Calibri"/>
          <w:b/>
          <w:i w:val="0"/>
          <w:color w:val="2B6CB0"/>
          <w:sz w:val="30"/>
        </w:rPr>
        <w:t>6. EXISTING SYSTEM AND LITERATURE REVIEW</w:t>
      </w:r>
    </w:p>
    <w:p>
      <w:pPr>
        <w:keepNext/>
        <w:spacing w:before="200" w:after="60" w:line="300" w:lineRule="auto"/>
        <w:jc w:val="left"/>
      </w:pPr>
      <w:r>
        <w:rPr>
          <w:rFonts w:ascii="Calibri" w:hAnsi="Calibri"/>
          <w:b/>
          <w:i w:val="0"/>
          <w:color w:val="2C5282"/>
          <w:sz w:val="25"/>
        </w:rPr>
        <w:t>6.1 Review of Conventional Methodologies</w:t>
      </w:r>
    </w:p>
    <w:p>
      <w:pPr>
        <w:spacing w:before="40" w:after="120" w:line="300" w:lineRule="auto"/>
        <w:jc w:val="both"/>
      </w:pPr>
      <w:r>
        <w:rPr>
          <w:rFonts w:ascii="Calibri" w:hAnsi="Calibri"/>
          <w:b w:val="0"/>
          <w:i w:val="0"/>
          <w:color w:val="2D3748"/>
          <w:sz w:val="22"/>
        </w:rPr>
        <w:t>External attack surface assessment tools typically fall into three broad categories:</w:t>
      </w:r>
    </w:p>
    <w:p>
      <w:pPr>
        <w:keepNext/>
        <w:spacing w:before="160" w:after="40" w:line="300" w:lineRule="auto"/>
        <w:jc w:val="left"/>
      </w:pPr>
      <w:r>
        <w:rPr>
          <w:rFonts w:ascii="Calibri" w:hAnsi="Calibri"/>
          <w:b/>
          <w:i w:val="0"/>
          <w:color w:val="2D3748"/>
          <w:sz w:val="22"/>
        </w:rPr>
        <w:t>Active Network Port and Vulnerability Scanners</w:t>
      </w:r>
    </w:p>
    <w:p>
      <w:pPr>
        <w:spacing w:before="40" w:after="120" w:line="300" w:lineRule="auto"/>
        <w:jc w:val="both"/>
      </w:pPr>
      <w:r>
        <w:rPr>
          <w:rFonts w:ascii="Calibri" w:hAnsi="Calibri"/>
          <w:b w:val="0"/>
          <w:i w:val="0"/>
          <w:color w:val="2D3748"/>
          <w:sz w:val="22"/>
        </w:rPr>
        <w:t xml:space="preserve">Tools such as </w:t>
      </w:r>
      <w:r>
        <w:rPr>
          <w:rFonts w:ascii="Calibri" w:hAnsi="Calibri"/>
          <w:b/>
          <w:i w:val="0"/>
          <w:color w:val="2D3748"/>
          <w:sz w:val="22"/>
        </w:rPr>
        <w:t>Nmap</w:t>
      </w:r>
      <w:r>
        <w:rPr>
          <w:rFonts w:ascii="Calibri" w:hAnsi="Calibri"/>
          <w:b w:val="0"/>
          <w:i w:val="0"/>
          <w:color w:val="2D3748"/>
          <w:sz w:val="22"/>
        </w:rPr>
        <w:t xml:space="preserve">, </w:t>
      </w:r>
      <w:r>
        <w:rPr>
          <w:rFonts w:ascii="Calibri" w:hAnsi="Calibri"/>
          <w:b/>
          <w:i w:val="0"/>
          <w:color w:val="2D3748"/>
          <w:sz w:val="22"/>
        </w:rPr>
        <w:t>Nessus</w:t>
      </w:r>
      <w:r>
        <w:rPr>
          <w:rFonts w:ascii="Calibri" w:hAnsi="Calibri"/>
          <w:b w:val="0"/>
          <w:i w:val="0"/>
          <w:color w:val="2D3748"/>
          <w:sz w:val="22"/>
        </w:rPr>
        <w:t xml:space="preserve">, and </w:t>
      </w:r>
      <w:r>
        <w:rPr>
          <w:rFonts w:ascii="Calibri" w:hAnsi="Calibri"/>
          <w:b/>
          <w:i w:val="0"/>
          <w:color w:val="2D3748"/>
          <w:sz w:val="22"/>
        </w:rPr>
        <w:t>OpenVAS</w:t>
      </w:r>
      <w:r>
        <w:rPr>
          <w:rFonts w:ascii="Calibri" w:hAnsi="Calibri"/>
          <w:b w:val="0"/>
          <w:i w:val="0"/>
          <w:color w:val="2D3748"/>
          <w:sz w:val="22"/>
        </w:rPr>
        <w:t xml:space="preserve"> establish direct, active TCP/UDP connections to thousands of ports on target host systems. They transmit banner probes, malformed requests, and known exploit signatures to determine running services and software versions.</w:t>
      </w:r>
    </w:p>
    <w:p>
      <w:pPr>
        <w:spacing w:before="20" w:after="60" w:line="276" w:lineRule="auto"/>
        <w:ind w:left="360"/>
        <w:jc w:val="left"/>
      </w:pPr>
      <w:r>
        <w:rPr>
          <w:rFonts w:ascii="Calibri" w:hAnsi="Calibri"/>
          <w:b/>
          <w:i w:val="0"/>
          <w:color w:val="2B6CB0"/>
          <w:sz w:val="18"/>
        </w:rPr>
        <w:t xml:space="preserve">▪  </w:t>
      </w:r>
      <w:r>
        <w:rPr>
          <w:rFonts w:ascii="Calibri" w:hAnsi="Calibri"/>
          <w:b w:val="0"/>
          <w:i/>
          <w:color w:val="2D3748"/>
          <w:sz w:val="21"/>
        </w:rPr>
        <w:t>Strengths:</w:t>
      </w:r>
      <w:r>
        <w:rPr>
          <w:rFonts w:ascii="Calibri" w:hAnsi="Calibri"/>
          <w:b w:val="0"/>
          <w:i w:val="0"/>
          <w:color w:val="2D3748"/>
          <w:sz w:val="21"/>
        </w:rPr>
        <w:t xml:space="preserve"> Highly accurate identification of active services and exploitable vulnerabilities behind responsive ports.</w:t>
      </w:r>
    </w:p>
    <w:p>
      <w:pPr>
        <w:spacing w:before="20" w:after="60" w:line="276" w:lineRule="auto"/>
        <w:ind w:left="360"/>
        <w:jc w:val="left"/>
      </w:pPr>
      <w:r>
        <w:rPr>
          <w:rFonts w:ascii="Calibri" w:hAnsi="Calibri"/>
          <w:b/>
          <w:i w:val="0"/>
          <w:color w:val="2B6CB0"/>
          <w:sz w:val="18"/>
        </w:rPr>
        <w:t xml:space="preserve">▪  </w:t>
      </w:r>
      <w:r>
        <w:rPr>
          <w:rFonts w:ascii="Calibri" w:hAnsi="Calibri"/>
          <w:b w:val="0"/>
          <w:i/>
          <w:color w:val="2D3748"/>
          <w:sz w:val="21"/>
        </w:rPr>
        <w:t>Weaknesses:</w:t>
      </w:r>
      <w:r>
        <w:rPr>
          <w:rFonts w:ascii="Calibri" w:hAnsi="Calibri"/>
          <w:b w:val="0"/>
          <w:i w:val="0"/>
          <w:color w:val="2D3748"/>
          <w:sz w:val="21"/>
        </w:rPr>
        <w:t xml:space="preserve"> Intrusion detection alarms are immediately triggered; heavy bandwidth consumption; potential for service disruption; strict legal authorization requirements.</w:t>
      </w:r>
    </w:p>
    <w:p>
      <w:pPr>
        <w:keepNext/>
        <w:spacing w:before="160" w:after="40" w:line="300" w:lineRule="auto"/>
        <w:jc w:val="left"/>
      </w:pPr>
      <w:r>
        <w:rPr>
          <w:rFonts w:ascii="Calibri" w:hAnsi="Calibri"/>
          <w:b/>
          <w:i w:val="0"/>
          <w:color w:val="2D3748"/>
          <w:sz w:val="22"/>
        </w:rPr>
        <w:t>Manual OSINT Command-Line Scripts</w:t>
      </w:r>
    </w:p>
    <w:p>
      <w:pPr>
        <w:spacing w:before="40" w:after="120" w:line="300" w:lineRule="auto"/>
        <w:jc w:val="both"/>
      </w:pPr>
      <w:r>
        <w:rPr>
          <w:rFonts w:ascii="Calibri" w:hAnsi="Calibri"/>
          <w:b w:val="0"/>
          <w:i w:val="0"/>
          <w:color w:val="2D3748"/>
          <w:sz w:val="22"/>
        </w:rPr>
        <w:t xml:space="preserve">Open-Source Intelligence (OSINT) scripts such as </w:t>
      </w:r>
      <w:r>
        <w:rPr>
          <w:rFonts w:ascii="Calibri" w:hAnsi="Calibri"/>
          <w:b/>
          <w:i w:val="0"/>
          <w:color w:val="2D3748"/>
          <w:sz w:val="22"/>
        </w:rPr>
        <w:t>Amass</w:t>
      </w:r>
      <w:r>
        <w:rPr>
          <w:rFonts w:ascii="Calibri" w:hAnsi="Calibri"/>
          <w:b w:val="0"/>
          <w:i w:val="0"/>
          <w:color w:val="2D3748"/>
          <w:sz w:val="22"/>
        </w:rPr>
        <w:t xml:space="preserve">, </w:t>
      </w:r>
      <w:r>
        <w:rPr>
          <w:rFonts w:ascii="Calibri" w:hAnsi="Calibri"/>
          <w:b/>
          <w:i w:val="0"/>
          <w:color w:val="2D3748"/>
          <w:sz w:val="22"/>
        </w:rPr>
        <w:t>Sublist3r</w:t>
      </w:r>
      <w:r>
        <w:rPr>
          <w:rFonts w:ascii="Calibri" w:hAnsi="Calibri"/>
          <w:b w:val="0"/>
          <w:i w:val="0"/>
          <w:color w:val="2D3748"/>
          <w:sz w:val="22"/>
        </w:rPr>
        <w:t xml:space="preserve">, </w:t>
      </w:r>
      <w:r>
        <w:rPr>
          <w:rFonts w:ascii="Calibri" w:hAnsi="Calibri"/>
          <w:b/>
          <w:i w:val="0"/>
          <w:color w:val="2D3748"/>
          <w:sz w:val="22"/>
        </w:rPr>
        <w:t>theHarvester</w:t>
      </w:r>
      <w:r>
        <w:rPr>
          <w:rFonts w:ascii="Calibri" w:hAnsi="Calibri"/>
          <w:b w:val="0"/>
          <w:i w:val="0"/>
          <w:color w:val="2D3748"/>
          <w:sz w:val="22"/>
        </w:rPr>
        <w:t xml:space="preserve">, and </w:t>
      </w:r>
      <w:r>
        <w:rPr>
          <w:rFonts w:ascii="Calibri" w:hAnsi="Calibri"/>
          <w:b/>
          <w:i w:val="0"/>
          <w:color w:val="2D3748"/>
          <w:sz w:val="22"/>
        </w:rPr>
        <w:t>dnsrecon</w:t>
      </w:r>
      <w:r>
        <w:rPr>
          <w:rFonts w:ascii="Calibri" w:hAnsi="Calibri"/>
          <w:b w:val="0"/>
          <w:i w:val="0"/>
          <w:color w:val="2D3748"/>
          <w:sz w:val="22"/>
        </w:rPr>
        <w:t xml:space="preserve"> collect passive reconnaissance data from search engines, web archives, and DNS brute-force wordlists.</w:t>
      </w:r>
    </w:p>
    <w:p>
      <w:pPr>
        <w:spacing w:before="20" w:after="60" w:line="276" w:lineRule="auto"/>
        <w:ind w:left="360"/>
        <w:jc w:val="left"/>
      </w:pPr>
      <w:r>
        <w:rPr>
          <w:rFonts w:ascii="Calibri" w:hAnsi="Calibri"/>
          <w:b/>
          <w:i w:val="0"/>
          <w:color w:val="2B6CB0"/>
          <w:sz w:val="18"/>
        </w:rPr>
        <w:t xml:space="preserve">▪  </w:t>
      </w:r>
      <w:r>
        <w:rPr>
          <w:rFonts w:ascii="Calibri" w:hAnsi="Calibri"/>
          <w:b w:val="0"/>
          <w:i/>
          <w:color w:val="2D3748"/>
          <w:sz w:val="21"/>
        </w:rPr>
        <w:t>Strengths:</w:t>
      </w:r>
      <w:r>
        <w:rPr>
          <w:rFonts w:ascii="Calibri" w:hAnsi="Calibri"/>
          <w:b w:val="0"/>
          <w:i w:val="0"/>
          <w:color w:val="2D3748"/>
          <w:sz w:val="21"/>
        </w:rPr>
        <w:t xml:space="preserve"> Excellent for standalone reconnaissance during initial penetration testing engagements.</w:t>
      </w:r>
    </w:p>
    <w:p>
      <w:pPr>
        <w:spacing w:before="20" w:after="60" w:line="276" w:lineRule="auto"/>
        <w:ind w:left="360"/>
        <w:jc w:val="left"/>
      </w:pPr>
      <w:r>
        <w:rPr>
          <w:rFonts w:ascii="Calibri" w:hAnsi="Calibri"/>
          <w:b/>
          <w:i w:val="0"/>
          <w:color w:val="2B6CB0"/>
          <w:sz w:val="18"/>
        </w:rPr>
        <w:t xml:space="preserve">▪  </w:t>
      </w:r>
      <w:r>
        <w:rPr>
          <w:rFonts w:ascii="Calibri" w:hAnsi="Calibri"/>
          <w:b w:val="0"/>
          <w:i/>
          <w:color w:val="2D3748"/>
          <w:sz w:val="21"/>
        </w:rPr>
        <w:t>Weaknesses:</w:t>
      </w:r>
      <w:r>
        <w:rPr>
          <w:rFonts w:ascii="Calibri" w:hAnsi="Calibri"/>
          <w:b w:val="0"/>
          <w:i w:val="0"/>
          <w:color w:val="2D3748"/>
          <w:sz w:val="21"/>
        </w:rPr>
        <w:t xml:space="preserve"> Highly fragmented outputs (raw text/JSON dumps); lack of consolidated asset normalization; no unified scoring or risk quantification; no web-based visual workstation for ongoing governance.</w:t>
      </w:r>
    </w:p>
    <w:p>
      <w:pPr>
        <w:keepNext/>
        <w:spacing w:before="160" w:after="40" w:line="300" w:lineRule="auto"/>
        <w:jc w:val="left"/>
      </w:pPr>
      <w:r>
        <w:rPr>
          <w:rFonts w:ascii="Calibri" w:hAnsi="Calibri"/>
          <w:b/>
          <w:i w:val="0"/>
          <w:color w:val="2D3748"/>
          <w:sz w:val="22"/>
        </w:rPr>
        <w:t>Proprietary Commercial Attack Surface Management Platforms</w:t>
      </w:r>
    </w:p>
    <w:p>
      <w:pPr>
        <w:spacing w:before="40" w:after="120" w:line="300" w:lineRule="auto"/>
        <w:jc w:val="both"/>
      </w:pPr>
      <w:r>
        <w:rPr>
          <w:rFonts w:ascii="Calibri" w:hAnsi="Calibri"/>
          <w:b w:val="0"/>
          <w:i w:val="0"/>
          <w:color w:val="2D3748"/>
          <w:sz w:val="22"/>
        </w:rPr>
        <w:t>Commercial platforms (e.g., BitSight, SecurityScorecard, Microsoft Defender EASM) continuously ingest global internet telemetry to generate corporate risk scores.</w:t>
      </w:r>
    </w:p>
    <w:p>
      <w:pPr>
        <w:spacing w:before="20" w:after="60" w:line="276" w:lineRule="auto"/>
        <w:ind w:left="360"/>
        <w:jc w:val="left"/>
      </w:pPr>
      <w:r>
        <w:rPr>
          <w:rFonts w:ascii="Calibri" w:hAnsi="Calibri"/>
          <w:b/>
          <w:i w:val="0"/>
          <w:color w:val="2B6CB0"/>
          <w:sz w:val="18"/>
        </w:rPr>
        <w:t xml:space="preserve">▪  </w:t>
      </w:r>
      <w:r>
        <w:rPr>
          <w:rFonts w:ascii="Calibri" w:hAnsi="Calibri"/>
          <w:b w:val="0"/>
          <w:i/>
          <w:color w:val="2D3748"/>
          <w:sz w:val="21"/>
        </w:rPr>
        <w:t>Strengths:</w:t>
      </w:r>
      <w:r>
        <w:rPr>
          <w:rFonts w:ascii="Calibri" w:hAnsi="Calibri"/>
          <w:b w:val="0"/>
          <w:i w:val="0"/>
          <w:color w:val="2D3748"/>
          <w:sz w:val="21"/>
        </w:rPr>
        <w:t xml:space="preserve"> Massive global scanning infrastructure and historical trend tracking.</w:t>
      </w:r>
    </w:p>
    <w:p>
      <w:pPr>
        <w:spacing w:before="20" w:after="60" w:line="276" w:lineRule="auto"/>
        <w:ind w:left="360"/>
        <w:jc w:val="left"/>
      </w:pPr>
      <w:r>
        <w:rPr>
          <w:rFonts w:ascii="Calibri" w:hAnsi="Calibri"/>
          <w:b/>
          <w:i w:val="0"/>
          <w:color w:val="2B6CB0"/>
          <w:sz w:val="18"/>
        </w:rPr>
        <w:t xml:space="preserve">▪  </w:t>
      </w:r>
      <w:r>
        <w:rPr>
          <w:rFonts w:ascii="Calibri" w:hAnsi="Calibri"/>
          <w:b w:val="0"/>
          <w:i/>
          <w:color w:val="2D3748"/>
          <w:sz w:val="21"/>
        </w:rPr>
        <w:t>Weaknesses:</w:t>
      </w:r>
      <w:r>
        <w:rPr>
          <w:rFonts w:ascii="Calibri" w:hAnsi="Calibri"/>
          <w:b w:val="0"/>
          <w:i w:val="0"/>
          <w:color w:val="2D3748"/>
          <w:sz w:val="21"/>
        </w:rPr>
        <w:t xml:space="preserve"> High financial barrier to entry; proprietary "black-box" scoring methodologies; frequent false positives; opaque dispute processes when external assets are misattributed.</w:t>
      </w:r>
    </w:p>
    <w:p>
      <w:pPr>
        <w:keepNext/>
        <w:spacing w:before="200" w:after="60" w:line="300" w:lineRule="auto"/>
        <w:jc w:val="left"/>
      </w:pPr>
      <w:r>
        <w:rPr>
          <w:rFonts w:ascii="Calibri" w:hAnsi="Calibri"/>
          <w:b/>
          <w:i w:val="0"/>
          <w:color w:val="2C5282"/>
          <w:sz w:val="25"/>
        </w:rPr>
        <w:t>6.2 Comparative Assessment</w:t>
      </w:r>
    </w:p>
    <w:tbl>
      <w:tblPr>
        <w:tblW w:type="auto" w:w="0"/>
        <w:jc w:val="center"/>
        <w:tblLook w:firstColumn="1" w:firstRow="1" w:lastColumn="0" w:lastRow="0" w:noHBand="0" w:noVBand="1" w:val="04A0"/>
        <w:tblBorders>
          <w:top w:val="single" w:sz="4" w:space="0" w:color="CBD5E0"/>
          <w:bottom w:val="single" w:sz="6" w:space="0" w:color="1A365D"/>
          <w:insideH w:val="single" w:sz="4" w:space="0" w:color="CBD5E0"/>
          <w:insideV w:val="none"/>
          <w:left w:val="none"/>
          <w:right w:val="none"/>
        </w:tblBorders>
      </w:tblPr>
      <w:tblGrid>
        <w:gridCol w:w="1806"/>
        <w:gridCol w:w="1806"/>
        <w:gridCol w:w="1806"/>
        <w:gridCol w:w="1806"/>
        <w:gridCol w:w="1806"/>
      </w:tblGrid>
      <w:tr>
        <w:tc>
          <w:tcPr>
            <w:tcW w:type="dxa" w:w="1806"/>
            <w:tcMar>
              <w:top w:w="100" w:type="dxa"/>
              <w:bottom w:w="100" w:type="dxa"/>
              <w:left w:w="130" w:type="dxa"/>
              <w:right w:w="130" w:type="dxa"/>
            </w:tcMar>
            <w:vAlign w:val="center"/>
            <w:shd w:fill="1A365D"/>
          </w:tcPr>
          <w:p>
            <w:pPr>
              <w:spacing w:before="40" w:after="40" w:line="276" w:lineRule="auto"/>
              <w:jc w:val="left"/>
            </w:pPr>
            <w:r>
              <w:rPr>
                <w:rFonts w:ascii="Calibri" w:hAnsi="Calibri"/>
                <w:b/>
                <w:i w:val="0"/>
                <w:color w:val="FFFFFF"/>
                <w:sz w:val="19"/>
              </w:rPr>
              <w:t>Assessment Dimension</w:t>
            </w:r>
          </w:p>
        </w:tc>
        <w:tc>
          <w:tcPr>
            <w:tcW w:type="dxa" w:w="1806"/>
            <w:tcMar>
              <w:top w:w="100" w:type="dxa"/>
              <w:bottom w:w="100" w:type="dxa"/>
              <w:left w:w="130" w:type="dxa"/>
              <w:right w:w="130" w:type="dxa"/>
            </w:tcMar>
            <w:vAlign w:val="center"/>
            <w:shd w:fill="1A365D"/>
          </w:tcPr>
          <w:p>
            <w:pPr>
              <w:spacing w:before="40" w:after="40" w:line="276" w:lineRule="auto"/>
              <w:jc w:val="left"/>
            </w:pPr>
            <w:r>
              <w:rPr>
                <w:rFonts w:ascii="Calibri" w:hAnsi="Calibri"/>
                <w:b/>
                <w:i w:val="0"/>
                <w:color w:val="FFFFFF"/>
                <w:sz w:val="19"/>
              </w:rPr>
              <w:t>Active Vulnerability Scanners</w:t>
            </w:r>
          </w:p>
        </w:tc>
        <w:tc>
          <w:tcPr>
            <w:tcW w:type="dxa" w:w="1806"/>
            <w:tcMar>
              <w:top w:w="100" w:type="dxa"/>
              <w:bottom w:w="100" w:type="dxa"/>
              <w:left w:w="130" w:type="dxa"/>
              <w:right w:w="130" w:type="dxa"/>
            </w:tcMar>
            <w:vAlign w:val="center"/>
            <w:shd w:fill="1A365D"/>
          </w:tcPr>
          <w:p>
            <w:pPr>
              <w:spacing w:before="40" w:after="40" w:line="276" w:lineRule="auto"/>
              <w:jc w:val="left"/>
            </w:pPr>
            <w:r>
              <w:rPr>
                <w:rFonts w:ascii="Calibri" w:hAnsi="Calibri"/>
                <w:b/>
                <w:i w:val="0"/>
                <w:color w:val="FFFFFF"/>
                <w:sz w:val="19"/>
              </w:rPr>
              <w:t>Command-Line OSINT Scripts</w:t>
            </w:r>
          </w:p>
        </w:tc>
        <w:tc>
          <w:tcPr>
            <w:tcW w:type="dxa" w:w="1806"/>
            <w:tcMar>
              <w:top w:w="100" w:type="dxa"/>
              <w:bottom w:w="100" w:type="dxa"/>
              <w:left w:w="130" w:type="dxa"/>
              <w:right w:w="130" w:type="dxa"/>
            </w:tcMar>
            <w:vAlign w:val="center"/>
            <w:shd w:fill="1A365D"/>
          </w:tcPr>
          <w:p>
            <w:pPr>
              <w:spacing w:before="40" w:after="40" w:line="276" w:lineRule="auto"/>
              <w:jc w:val="left"/>
            </w:pPr>
            <w:r>
              <w:rPr>
                <w:rFonts w:ascii="Calibri" w:hAnsi="Calibri"/>
                <w:b/>
                <w:i w:val="0"/>
                <w:color w:val="FFFFFF"/>
                <w:sz w:val="19"/>
              </w:rPr>
              <w:t>Proprietary EASM Services</w:t>
            </w:r>
          </w:p>
        </w:tc>
        <w:tc>
          <w:tcPr>
            <w:tcW w:type="dxa" w:w="1806"/>
            <w:tcMar>
              <w:top w:w="100" w:type="dxa"/>
              <w:bottom w:w="100" w:type="dxa"/>
              <w:left w:w="130" w:type="dxa"/>
              <w:right w:w="130" w:type="dxa"/>
            </w:tcMar>
            <w:vAlign w:val="center"/>
            <w:shd w:fill="1A365D"/>
          </w:tcPr>
          <w:p>
            <w:pPr>
              <w:spacing w:before="40" w:after="40" w:line="276" w:lineRule="auto"/>
              <w:jc w:val="left"/>
            </w:pPr>
            <w:r>
              <w:rPr>
                <w:rFonts w:ascii="Calibri" w:hAnsi="Calibri"/>
                <w:b/>
                <w:i w:val="0"/>
                <w:color w:val="FFFFFF"/>
                <w:sz w:val="19"/>
              </w:rPr>
              <w:t>Domain Attack Surface Scanner (DASS)</w:t>
            </w:r>
          </w:p>
        </w:tc>
      </w:tr>
      <w:tr>
        <w:tc>
          <w:tcPr>
            <w:tcW w:type="dxa" w:w="1806"/>
            <w:tcMar>
              <w:top w:w="100" w:type="dxa"/>
              <w:bottom w:w="100" w:type="dxa"/>
              <w:left w:w="130" w:type="dxa"/>
              <w:right w:w="130" w:type="dxa"/>
            </w:tcMar>
            <w:vAlign w:val="center"/>
            <w:shd w:fill="FFFFFF"/>
          </w:tcPr>
          <w:p>
            <w:pPr>
              <w:spacing w:before="40" w:after="40" w:line="276" w:lineRule="auto"/>
              <w:jc w:val="left"/>
            </w:pPr>
            <w:r>
              <w:rPr>
                <w:rFonts w:ascii="Calibri" w:hAnsi="Calibri"/>
                <w:b/>
                <w:i w:val="0"/>
                <w:color w:val="2D3748"/>
                <w:sz w:val="19"/>
              </w:rPr>
              <w:t>Intrusiveness</w:t>
            </w:r>
          </w:p>
        </w:tc>
        <w:tc>
          <w:tcPr>
            <w:tcW w:type="dxa" w:w="1806"/>
            <w:tcMar>
              <w:top w:w="100" w:type="dxa"/>
              <w:bottom w:w="100" w:type="dxa"/>
              <w:left w:w="130" w:type="dxa"/>
              <w:right w:w="130" w:type="dxa"/>
            </w:tcMar>
            <w:vAlign w:val="center"/>
            <w:shd w:fill="FFFFFF"/>
          </w:tcPr>
          <w:p>
            <w:pPr>
              <w:spacing w:before="40" w:after="40" w:line="276" w:lineRule="auto"/>
              <w:jc w:val="left"/>
            </w:pPr>
            <w:r>
              <w:rPr>
                <w:rFonts w:ascii="Calibri" w:hAnsi="Calibri"/>
                <w:b w:val="0"/>
                <w:i w:val="0"/>
                <w:color w:val="2D3748"/>
                <w:sz w:val="19"/>
              </w:rPr>
              <w:t>High (sends thousands of probes)</w:t>
            </w:r>
          </w:p>
        </w:tc>
        <w:tc>
          <w:tcPr>
            <w:tcW w:type="dxa" w:w="1806"/>
            <w:tcMar>
              <w:top w:w="100" w:type="dxa"/>
              <w:bottom w:w="100" w:type="dxa"/>
              <w:left w:w="130" w:type="dxa"/>
              <w:right w:w="130" w:type="dxa"/>
            </w:tcMar>
            <w:vAlign w:val="center"/>
            <w:shd w:fill="FFFFFF"/>
          </w:tcPr>
          <w:p>
            <w:pPr>
              <w:spacing w:before="40" w:after="40" w:line="276" w:lineRule="auto"/>
              <w:jc w:val="left"/>
            </w:pPr>
            <w:r>
              <w:rPr>
                <w:rFonts w:ascii="Calibri" w:hAnsi="Calibri"/>
                <w:b w:val="0"/>
                <w:i w:val="0"/>
                <w:color w:val="2D3748"/>
                <w:sz w:val="19"/>
              </w:rPr>
              <w:t>Medium (often includes DNS brute force)</w:t>
            </w:r>
          </w:p>
        </w:tc>
        <w:tc>
          <w:tcPr>
            <w:tcW w:type="dxa" w:w="1806"/>
            <w:tcMar>
              <w:top w:w="100" w:type="dxa"/>
              <w:bottom w:w="100" w:type="dxa"/>
              <w:left w:w="130" w:type="dxa"/>
              <w:right w:w="130" w:type="dxa"/>
            </w:tcMar>
            <w:vAlign w:val="center"/>
            <w:shd w:fill="FFFFFF"/>
          </w:tcPr>
          <w:p>
            <w:pPr>
              <w:spacing w:before="40" w:after="40" w:line="276" w:lineRule="auto"/>
              <w:jc w:val="left"/>
            </w:pPr>
            <w:r>
              <w:rPr>
                <w:rFonts w:ascii="Calibri" w:hAnsi="Calibri"/>
                <w:b w:val="0"/>
                <w:i w:val="0"/>
                <w:color w:val="2D3748"/>
                <w:sz w:val="19"/>
              </w:rPr>
              <w:t>Low to Medium</w:t>
            </w:r>
          </w:p>
        </w:tc>
        <w:tc>
          <w:tcPr>
            <w:tcW w:type="dxa" w:w="1806"/>
            <w:tcMar>
              <w:top w:w="100" w:type="dxa"/>
              <w:bottom w:w="100" w:type="dxa"/>
              <w:left w:w="130" w:type="dxa"/>
              <w:right w:w="130" w:type="dxa"/>
            </w:tcMar>
            <w:vAlign w:val="center"/>
            <w:shd w:fill="FFFFFF"/>
          </w:tcPr>
          <w:p>
            <w:pPr>
              <w:spacing w:before="40" w:after="40" w:line="276" w:lineRule="auto"/>
              <w:jc w:val="left"/>
            </w:pPr>
            <w:r>
              <w:rPr>
                <w:rFonts w:ascii="Calibri" w:hAnsi="Calibri"/>
                <w:b/>
                <w:i w:val="0"/>
                <w:color w:val="2D3748"/>
                <w:sz w:val="19"/>
              </w:rPr>
              <w:t>Zero (Strictly passive &amp; safe HTTP)</w:t>
            </w:r>
          </w:p>
        </w:tc>
      </w:tr>
      <w:tr>
        <w:tc>
          <w:tcPr>
            <w:tcW w:type="dxa" w:w="1806"/>
            <w:tcMar>
              <w:top w:w="100" w:type="dxa"/>
              <w:bottom w:w="100" w:type="dxa"/>
              <w:left w:w="130" w:type="dxa"/>
              <w:right w:w="130" w:type="dxa"/>
            </w:tcMar>
            <w:vAlign w:val="center"/>
            <w:shd w:fill="F7FAFC"/>
          </w:tcPr>
          <w:p>
            <w:pPr>
              <w:spacing w:before="40" w:after="40" w:line="276" w:lineRule="auto"/>
              <w:jc w:val="left"/>
            </w:pPr>
            <w:r>
              <w:rPr>
                <w:rFonts w:ascii="Calibri" w:hAnsi="Calibri"/>
                <w:b/>
                <w:i w:val="0"/>
                <w:color w:val="2D3748"/>
                <w:sz w:val="19"/>
              </w:rPr>
              <w:t>Legal Authorization Req.</w:t>
            </w:r>
          </w:p>
        </w:tc>
        <w:tc>
          <w:tcPr>
            <w:tcW w:type="dxa" w:w="1806"/>
            <w:tcMar>
              <w:top w:w="100" w:type="dxa"/>
              <w:bottom w:w="100" w:type="dxa"/>
              <w:left w:w="130" w:type="dxa"/>
              <w:right w:w="130" w:type="dxa"/>
            </w:tcMar>
            <w:vAlign w:val="center"/>
            <w:shd w:fill="F7FAFC"/>
          </w:tcPr>
          <w:p>
            <w:pPr>
              <w:spacing w:before="40" w:after="40" w:line="276" w:lineRule="auto"/>
              <w:jc w:val="left"/>
            </w:pPr>
            <w:r>
              <w:rPr>
                <w:rFonts w:ascii="Calibri" w:hAnsi="Calibri"/>
                <w:b w:val="0"/>
                <w:i w:val="0"/>
                <w:color w:val="2D3748"/>
                <w:sz w:val="19"/>
              </w:rPr>
              <w:t>Mandatory written authorization</w:t>
            </w:r>
          </w:p>
        </w:tc>
        <w:tc>
          <w:tcPr>
            <w:tcW w:type="dxa" w:w="1806"/>
            <w:tcMar>
              <w:top w:w="100" w:type="dxa"/>
              <w:bottom w:w="100" w:type="dxa"/>
              <w:left w:w="130" w:type="dxa"/>
              <w:right w:w="130" w:type="dxa"/>
            </w:tcMar>
            <w:vAlign w:val="center"/>
            <w:shd w:fill="F7FAFC"/>
          </w:tcPr>
          <w:p>
            <w:pPr>
              <w:spacing w:before="40" w:after="40" w:line="276" w:lineRule="auto"/>
              <w:jc w:val="left"/>
            </w:pPr>
            <w:r>
              <w:rPr>
                <w:rFonts w:ascii="Calibri" w:hAnsi="Calibri"/>
                <w:b w:val="0"/>
                <w:i w:val="0"/>
                <w:color w:val="2D3748"/>
                <w:sz w:val="19"/>
              </w:rPr>
              <w:t>Often required for DNS brute-force</w:t>
            </w:r>
          </w:p>
        </w:tc>
        <w:tc>
          <w:tcPr>
            <w:tcW w:type="dxa" w:w="1806"/>
            <w:tcMar>
              <w:top w:w="100" w:type="dxa"/>
              <w:bottom w:w="100" w:type="dxa"/>
              <w:left w:w="130" w:type="dxa"/>
              <w:right w:w="130" w:type="dxa"/>
            </w:tcMar>
            <w:vAlign w:val="center"/>
            <w:shd w:fill="F7FAFC"/>
          </w:tcPr>
          <w:p>
            <w:pPr>
              <w:spacing w:before="40" w:after="40" w:line="276" w:lineRule="auto"/>
              <w:jc w:val="left"/>
            </w:pPr>
            <w:r>
              <w:rPr>
                <w:rFonts w:ascii="Calibri" w:hAnsi="Calibri"/>
                <w:b w:val="0"/>
                <w:i w:val="0"/>
                <w:color w:val="2D3748"/>
                <w:sz w:val="19"/>
              </w:rPr>
              <w:t>Not applicable (vendor managed)</w:t>
            </w:r>
          </w:p>
        </w:tc>
        <w:tc>
          <w:tcPr>
            <w:tcW w:type="dxa" w:w="1806"/>
            <w:tcMar>
              <w:top w:w="100" w:type="dxa"/>
              <w:bottom w:w="100" w:type="dxa"/>
              <w:left w:w="130" w:type="dxa"/>
              <w:right w:w="130" w:type="dxa"/>
            </w:tcMar>
            <w:vAlign w:val="center"/>
            <w:shd w:fill="F7FAFC"/>
          </w:tcPr>
          <w:p>
            <w:pPr>
              <w:spacing w:before="40" w:after="40" w:line="276" w:lineRule="auto"/>
              <w:jc w:val="left"/>
            </w:pPr>
            <w:r>
              <w:rPr>
                <w:rFonts w:ascii="Calibri" w:hAnsi="Calibri"/>
                <w:b/>
                <w:i w:val="0"/>
                <w:color w:val="2D3748"/>
                <w:sz w:val="19"/>
              </w:rPr>
              <w:t>None required (Public OSINT signals only)</w:t>
            </w:r>
          </w:p>
        </w:tc>
      </w:tr>
      <w:tr>
        <w:tc>
          <w:tcPr>
            <w:tcW w:type="dxa" w:w="1806"/>
            <w:tcMar>
              <w:top w:w="100" w:type="dxa"/>
              <w:bottom w:w="100" w:type="dxa"/>
              <w:left w:w="130" w:type="dxa"/>
              <w:right w:w="130" w:type="dxa"/>
            </w:tcMar>
            <w:vAlign w:val="center"/>
            <w:shd w:fill="FFFFFF"/>
          </w:tcPr>
          <w:p>
            <w:pPr>
              <w:spacing w:before="40" w:after="40" w:line="276" w:lineRule="auto"/>
              <w:jc w:val="left"/>
            </w:pPr>
            <w:r>
              <w:rPr>
                <w:rFonts w:ascii="Calibri" w:hAnsi="Calibri"/>
                <w:b/>
                <w:i w:val="0"/>
                <w:color w:val="2D3748"/>
                <w:sz w:val="19"/>
              </w:rPr>
              <w:t>Asset Relationship Graph</w:t>
            </w:r>
          </w:p>
        </w:tc>
        <w:tc>
          <w:tcPr>
            <w:tcW w:type="dxa" w:w="1806"/>
            <w:tcMar>
              <w:top w:w="100" w:type="dxa"/>
              <w:bottom w:w="100" w:type="dxa"/>
              <w:left w:w="130" w:type="dxa"/>
              <w:right w:w="130" w:type="dxa"/>
            </w:tcMar>
            <w:vAlign w:val="center"/>
            <w:shd w:fill="FFFFFF"/>
          </w:tcPr>
          <w:p>
            <w:pPr>
              <w:spacing w:before="40" w:after="40" w:line="276" w:lineRule="auto"/>
              <w:jc w:val="left"/>
            </w:pPr>
            <w:r>
              <w:rPr>
                <w:rFonts w:ascii="Calibri" w:hAnsi="Calibri"/>
                <w:b w:val="0"/>
                <w:i w:val="0"/>
                <w:color w:val="2D3748"/>
                <w:sz w:val="19"/>
              </w:rPr>
              <w:t>Rare (IP-centric)</w:t>
            </w:r>
          </w:p>
        </w:tc>
        <w:tc>
          <w:tcPr>
            <w:tcW w:type="dxa" w:w="1806"/>
            <w:tcMar>
              <w:top w:w="100" w:type="dxa"/>
              <w:bottom w:w="100" w:type="dxa"/>
              <w:left w:w="130" w:type="dxa"/>
              <w:right w:w="130" w:type="dxa"/>
            </w:tcMar>
            <w:vAlign w:val="center"/>
            <w:shd w:fill="FFFFFF"/>
          </w:tcPr>
          <w:p>
            <w:pPr>
              <w:spacing w:before="40" w:after="40" w:line="276" w:lineRule="auto"/>
              <w:jc w:val="left"/>
            </w:pPr>
            <w:r>
              <w:rPr>
                <w:rFonts w:ascii="Calibri" w:hAnsi="Calibri"/>
                <w:b w:val="0"/>
                <w:i w:val="0"/>
                <w:color w:val="2D3748"/>
                <w:sz w:val="19"/>
              </w:rPr>
              <w:t>None (flat lists)</w:t>
            </w:r>
          </w:p>
        </w:tc>
        <w:tc>
          <w:tcPr>
            <w:tcW w:type="dxa" w:w="1806"/>
            <w:tcMar>
              <w:top w:w="100" w:type="dxa"/>
              <w:bottom w:w="100" w:type="dxa"/>
              <w:left w:w="130" w:type="dxa"/>
              <w:right w:w="130" w:type="dxa"/>
            </w:tcMar>
            <w:vAlign w:val="center"/>
            <w:shd w:fill="FFFFFF"/>
          </w:tcPr>
          <w:p>
            <w:pPr>
              <w:spacing w:before="40" w:after="40" w:line="276" w:lineRule="auto"/>
              <w:jc w:val="left"/>
            </w:pPr>
            <w:r>
              <w:rPr>
                <w:rFonts w:ascii="Calibri" w:hAnsi="Calibri"/>
                <w:b w:val="0"/>
                <w:i w:val="0"/>
                <w:color w:val="2D3748"/>
                <w:sz w:val="19"/>
              </w:rPr>
              <w:t>Proprietary graph</w:t>
            </w:r>
          </w:p>
        </w:tc>
        <w:tc>
          <w:tcPr>
            <w:tcW w:type="dxa" w:w="1806"/>
            <w:tcMar>
              <w:top w:w="100" w:type="dxa"/>
              <w:bottom w:w="100" w:type="dxa"/>
              <w:left w:w="130" w:type="dxa"/>
              <w:right w:w="130" w:type="dxa"/>
            </w:tcMar>
            <w:vAlign w:val="center"/>
            <w:shd w:fill="FFFFFF"/>
          </w:tcPr>
          <w:p>
            <w:pPr>
              <w:spacing w:before="40" w:after="40" w:line="276" w:lineRule="auto"/>
              <w:jc w:val="left"/>
            </w:pPr>
            <w:r>
              <w:rPr>
                <w:rFonts w:ascii="Calibri" w:hAnsi="Calibri"/>
                <w:b/>
                <w:i w:val="0"/>
                <w:color w:val="2D3748"/>
                <w:sz w:val="19"/>
              </w:rPr>
              <w:t>Interactive SVG &amp; Relational Models</w:t>
            </w:r>
          </w:p>
        </w:tc>
      </w:tr>
      <w:tr>
        <w:tc>
          <w:tcPr>
            <w:tcW w:type="dxa" w:w="1806"/>
            <w:tcMar>
              <w:top w:w="100" w:type="dxa"/>
              <w:bottom w:w="100" w:type="dxa"/>
              <w:left w:w="130" w:type="dxa"/>
              <w:right w:w="130" w:type="dxa"/>
            </w:tcMar>
            <w:vAlign w:val="center"/>
            <w:shd w:fill="F7FAFC"/>
          </w:tcPr>
          <w:p>
            <w:pPr>
              <w:spacing w:before="40" w:after="40" w:line="276" w:lineRule="auto"/>
              <w:jc w:val="left"/>
            </w:pPr>
            <w:r>
              <w:rPr>
                <w:rFonts w:ascii="Calibri" w:hAnsi="Calibri"/>
                <w:b/>
                <w:i w:val="0"/>
                <w:color w:val="2D3748"/>
                <w:sz w:val="19"/>
              </w:rPr>
              <w:t>Scoring Explainability</w:t>
            </w:r>
          </w:p>
        </w:tc>
        <w:tc>
          <w:tcPr>
            <w:tcW w:type="dxa" w:w="1806"/>
            <w:tcMar>
              <w:top w:w="100" w:type="dxa"/>
              <w:bottom w:w="100" w:type="dxa"/>
              <w:left w:w="130" w:type="dxa"/>
              <w:right w:w="130" w:type="dxa"/>
            </w:tcMar>
            <w:vAlign w:val="center"/>
            <w:shd w:fill="F7FAFC"/>
          </w:tcPr>
          <w:p>
            <w:pPr>
              <w:spacing w:before="40" w:after="40" w:line="276" w:lineRule="auto"/>
              <w:jc w:val="left"/>
            </w:pPr>
            <w:r>
              <w:rPr>
                <w:rFonts w:ascii="Calibri" w:hAnsi="Calibri"/>
                <w:b w:val="0"/>
                <w:i w:val="0"/>
                <w:color w:val="2D3748"/>
                <w:sz w:val="19"/>
              </w:rPr>
              <w:t>Opaque CVSS aggregations</w:t>
            </w:r>
          </w:p>
        </w:tc>
        <w:tc>
          <w:tcPr>
            <w:tcW w:type="dxa" w:w="1806"/>
            <w:tcMar>
              <w:top w:w="100" w:type="dxa"/>
              <w:bottom w:w="100" w:type="dxa"/>
              <w:left w:w="130" w:type="dxa"/>
              <w:right w:w="130" w:type="dxa"/>
            </w:tcMar>
            <w:vAlign w:val="center"/>
            <w:shd w:fill="F7FAFC"/>
          </w:tcPr>
          <w:p>
            <w:pPr>
              <w:spacing w:before="40" w:after="40" w:line="276" w:lineRule="auto"/>
              <w:jc w:val="left"/>
            </w:pPr>
            <w:r>
              <w:rPr>
                <w:rFonts w:ascii="Calibri" w:hAnsi="Calibri"/>
                <w:b w:val="0"/>
                <w:i w:val="0"/>
                <w:color w:val="2D3748"/>
                <w:sz w:val="19"/>
              </w:rPr>
              <w:t>None</w:t>
            </w:r>
          </w:p>
        </w:tc>
        <w:tc>
          <w:tcPr>
            <w:tcW w:type="dxa" w:w="1806"/>
            <w:tcMar>
              <w:top w:w="100" w:type="dxa"/>
              <w:bottom w:w="100" w:type="dxa"/>
              <w:left w:w="130" w:type="dxa"/>
              <w:right w:w="130" w:type="dxa"/>
            </w:tcMar>
            <w:vAlign w:val="center"/>
            <w:shd w:fill="F7FAFC"/>
          </w:tcPr>
          <w:p>
            <w:pPr>
              <w:spacing w:before="40" w:after="40" w:line="276" w:lineRule="auto"/>
              <w:jc w:val="left"/>
            </w:pPr>
            <w:r>
              <w:rPr>
                <w:rFonts w:ascii="Calibri" w:hAnsi="Calibri"/>
                <w:b w:val="0"/>
                <w:i w:val="0"/>
                <w:color w:val="2D3748"/>
                <w:sz w:val="19"/>
              </w:rPr>
              <w:t>Proprietary black-box</w:t>
            </w:r>
          </w:p>
        </w:tc>
        <w:tc>
          <w:tcPr>
            <w:tcW w:type="dxa" w:w="1806"/>
            <w:tcMar>
              <w:top w:w="100" w:type="dxa"/>
              <w:bottom w:w="100" w:type="dxa"/>
              <w:left w:w="130" w:type="dxa"/>
              <w:right w:w="130" w:type="dxa"/>
            </w:tcMar>
            <w:vAlign w:val="center"/>
            <w:shd w:fill="F7FAFC"/>
          </w:tcPr>
          <w:p>
            <w:pPr>
              <w:spacing w:before="40" w:after="40" w:line="276" w:lineRule="auto"/>
              <w:jc w:val="left"/>
            </w:pPr>
            <w:r>
              <w:rPr>
                <w:rFonts w:ascii="Calibri" w:hAnsi="Calibri"/>
                <w:b/>
                <w:i w:val="0"/>
                <w:color w:val="2D3748"/>
                <w:sz w:val="19"/>
              </w:rPr>
              <w:t>100% Transparent, Deterministic v1 Rubric</w:t>
            </w:r>
          </w:p>
        </w:tc>
      </w:tr>
      <w:tr>
        <w:tc>
          <w:tcPr>
            <w:tcW w:type="dxa" w:w="1806"/>
            <w:tcMar>
              <w:top w:w="100" w:type="dxa"/>
              <w:bottom w:w="100" w:type="dxa"/>
              <w:left w:w="130" w:type="dxa"/>
              <w:right w:w="130" w:type="dxa"/>
            </w:tcMar>
            <w:vAlign w:val="center"/>
            <w:shd w:fill="FFFFFF"/>
          </w:tcPr>
          <w:p>
            <w:pPr>
              <w:spacing w:before="40" w:after="40" w:line="276" w:lineRule="auto"/>
              <w:jc w:val="left"/>
            </w:pPr>
            <w:r>
              <w:rPr>
                <w:rFonts w:ascii="Calibri" w:hAnsi="Calibri"/>
                <w:b/>
                <w:i w:val="0"/>
                <w:color w:val="2D3748"/>
                <w:sz w:val="19"/>
              </w:rPr>
              <w:t>Epistemic Safety</w:t>
            </w:r>
          </w:p>
        </w:tc>
        <w:tc>
          <w:tcPr>
            <w:tcW w:type="dxa" w:w="1806"/>
            <w:tcMar>
              <w:top w:w="100" w:type="dxa"/>
              <w:bottom w:w="100" w:type="dxa"/>
              <w:left w:w="130" w:type="dxa"/>
              <w:right w:w="130" w:type="dxa"/>
            </w:tcMar>
            <w:vAlign w:val="center"/>
            <w:shd w:fill="FFFFFF"/>
          </w:tcPr>
          <w:p>
            <w:pPr>
              <w:spacing w:before="40" w:after="40" w:line="276" w:lineRule="auto"/>
              <w:jc w:val="left"/>
            </w:pPr>
            <w:r>
              <w:rPr>
                <w:rFonts w:ascii="Calibri" w:hAnsi="Calibri"/>
                <w:b w:val="0"/>
                <w:i w:val="0"/>
                <w:color w:val="2D3748"/>
                <w:sz w:val="19"/>
              </w:rPr>
              <w:t>Poor (timeouts flagged as flaws)</w:t>
            </w:r>
          </w:p>
        </w:tc>
        <w:tc>
          <w:tcPr>
            <w:tcW w:type="dxa" w:w="1806"/>
            <w:tcMar>
              <w:top w:w="100" w:type="dxa"/>
              <w:bottom w:w="100" w:type="dxa"/>
              <w:left w:w="130" w:type="dxa"/>
              <w:right w:w="130" w:type="dxa"/>
            </w:tcMar>
            <w:vAlign w:val="center"/>
            <w:shd w:fill="FFFFFF"/>
          </w:tcPr>
          <w:p>
            <w:pPr>
              <w:spacing w:before="40" w:after="40" w:line="276" w:lineRule="auto"/>
              <w:jc w:val="left"/>
            </w:pPr>
            <w:r>
              <w:rPr>
                <w:rFonts w:ascii="Calibri" w:hAnsi="Calibri"/>
                <w:b w:val="0"/>
                <w:i w:val="0"/>
                <w:color w:val="2D3748"/>
                <w:sz w:val="19"/>
              </w:rPr>
              <w:t>None</w:t>
            </w:r>
          </w:p>
        </w:tc>
        <w:tc>
          <w:tcPr>
            <w:tcW w:type="dxa" w:w="1806"/>
            <w:tcMar>
              <w:top w:w="100" w:type="dxa"/>
              <w:bottom w:w="100" w:type="dxa"/>
              <w:left w:w="130" w:type="dxa"/>
              <w:right w:w="130" w:type="dxa"/>
            </w:tcMar>
            <w:vAlign w:val="center"/>
            <w:shd w:fill="FFFFFF"/>
          </w:tcPr>
          <w:p>
            <w:pPr>
              <w:spacing w:before="40" w:after="40" w:line="276" w:lineRule="auto"/>
              <w:jc w:val="left"/>
            </w:pPr>
            <w:r>
              <w:rPr>
                <w:rFonts w:ascii="Calibri" w:hAnsi="Calibri"/>
                <w:b w:val="0"/>
                <w:i w:val="0"/>
                <w:color w:val="2D3748"/>
                <w:sz w:val="19"/>
              </w:rPr>
              <w:t>Variable</w:t>
            </w:r>
          </w:p>
        </w:tc>
        <w:tc>
          <w:tcPr>
            <w:tcW w:type="dxa" w:w="1806"/>
            <w:tcMar>
              <w:top w:w="100" w:type="dxa"/>
              <w:bottom w:w="100" w:type="dxa"/>
              <w:left w:w="130" w:type="dxa"/>
              <w:right w:w="130" w:type="dxa"/>
            </w:tcMar>
            <w:vAlign w:val="center"/>
            <w:shd w:fill="FFFFFF"/>
          </w:tcPr>
          <w:p>
            <w:pPr>
              <w:spacing w:before="40" w:after="40" w:line="276" w:lineRule="auto"/>
              <w:jc w:val="left"/>
            </w:pPr>
            <w:r>
              <w:rPr>
                <w:rFonts w:ascii="Calibri" w:hAnsi="Calibri"/>
                <w:b/>
                <w:i w:val="0"/>
                <w:color w:val="2D3748"/>
                <w:sz w:val="19"/>
              </w:rPr>
              <w:t>Guaranteed (Failed checks never deduct)</w:t>
            </w:r>
          </w:p>
        </w:tc>
      </w:tr>
      <w:tr>
        <w:tc>
          <w:tcPr>
            <w:tcW w:type="dxa" w:w="1806"/>
            <w:tcMar>
              <w:top w:w="100" w:type="dxa"/>
              <w:bottom w:w="100" w:type="dxa"/>
              <w:left w:w="130" w:type="dxa"/>
              <w:right w:w="130" w:type="dxa"/>
            </w:tcMar>
            <w:vAlign w:val="center"/>
            <w:shd w:fill="F7FAFC"/>
          </w:tcPr>
          <w:p>
            <w:pPr>
              <w:spacing w:before="40" w:after="40" w:line="276" w:lineRule="auto"/>
              <w:jc w:val="left"/>
            </w:pPr>
            <w:r>
              <w:rPr>
                <w:rFonts w:ascii="Calibri" w:hAnsi="Calibri"/>
                <w:b/>
                <w:i w:val="0"/>
                <w:color w:val="2D3748"/>
                <w:sz w:val="19"/>
              </w:rPr>
              <w:t>Deployment Model</w:t>
            </w:r>
          </w:p>
        </w:tc>
        <w:tc>
          <w:tcPr>
            <w:tcW w:type="dxa" w:w="1806"/>
            <w:tcMar>
              <w:top w:w="100" w:type="dxa"/>
              <w:bottom w:w="100" w:type="dxa"/>
              <w:left w:w="130" w:type="dxa"/>
              <w:right w:w="130" w:type="dxa"/>
            </w:tcMar>
            <w:vAlign w:val="center"/>
            <w:shd w:fill="F7FAFC"/>
          </w:tcPr>
          <w:p>
            <w:pPr>
              <w:spacing w:before="40" w:after="40" w:line="276" w:lineRule="auto"/>
              <w:jc w:val="left"/>
            </w:pPr>
            <w:r>
              <w:rPr>
                <w:rFonts w:ascii="Calibri" w:hAnsi="Calibri"/>
                <w:b w:val="0"/>
                <w:i w:val="0"/>
                <w:color w:val="2D3748"/>
                <w:sz w:val="19"/>
              </w:rPr>
              <w:t>Heavyweight server daemon</w:t>
            </w:r>
          </w:p>
        </w:tc>
        <w:tc>
          <w:tcPr>
            <w:tcW w:type="dxa" w:w="1806"/>
            <w:tcMar>
              <w:top w:w="100" w:type="dxa"/>
              <w:bottom w:w="100" w:type="dxa"/>
              <w:left w:w="130" w:type="dxa"/>
              <w:right w:w="130" w:type="dxa"/>
            </w:tcMar>
            <w:vAlign w:val="center"/>
            <w:shd w:fill="F7FAFC"/>
          </w:tcPr>
          <w:p>
            <w:pPr>
              <w:spacing w:before="40" w:after="40" w:line="276" w:lineRule="auto"/>
              <w:jc w:val="left"/>
            </w:pPr>
            <w:r>
              <w:rPr>
                <w:rFonts w:ascii="Calibri" w:hAnsi="Calibri"/>
                <w:b w:val="0"/>
                <w:i w:val="0"/>
                <w:color w:val="2D3748"/>
                <w:sz w:val="19"/>
              </w:rPr>
              <w:t>Python/Go CLI scripts</w:t>
            </w:r>
          </w:p>
        </w:tc>
        <w:tc>
          <w:tcPr>
            <w:tcW w:type="dxa" w:w="1806"/>
            <w:tcMar>
              <w:top w:w="100" w:type="dxa"/>
              <w:bottom w:w="100" w:type="dxa"/>
              <w:left w:w="130" w:type="dxa"/>
              <w:right w:w="130" w:type="dxa"/>
            </w:tcMar>
            <w:vAlign w:val="center"/>
            <w:shd w:fill="F7FAFC"/>
          </w:tcPr>
          <w:p>
            <w:pPr>
              <w:spacing w:before="40" w:after="40" w:line="276" w:lineRule="auto"/>
              <w:jc w:val="left"/>
            </w:pPr>
            <w:r>
              <w:rPr>
                <w:rFonts w:ascii="Calibri" w:hAnsi="Calibri"/>
                <w:b w:val="0"/>
                <w:i w:val="0"/>
                <w:color w:val="2D3748"/>
                <w:sz w:val="19"/>
              </w:rPr>
              <w:t>Enterprise SaaS</w:t>
            </w:r>
          </w:p>
        </w:tc>
        <w:tc>
          <w:tcPr>
            <w:tcW w:type="dxa" w:w="1806"/>
            <w:tcMar>
              <w:top w:w="100" w:type="dxa"/>
              <w:bottom w:w="100" w:type="dxa"/>
              <w:left w:w="130" w:type="dxa"/>
              <w:right w:w="130" w:type="dxa"/>
            </w:tcMar>
            <w:vAlign w:val="center"/>
            <w:shd w:fill="F7FAFC"/>
          </w:tcPr>
          <w:p>
            <w:pPr>
              <w:spacing w:before="40" w:after="40" w:line="276" w:lineRule="auto"/>
              <w:jc w:val="left"/>
            </w:pPr>
            <w:r>
              <w:rPr>
                <w:rFonts w:ascii="Calibri" w:hAnsi="Calibri"/>
                <w:b/>
                <w:i w:val="0"/>
                <w:color w:val="2D3748"/>
                <w:sz w:val="19"/>
              </w:rPr>
              <w:t>Self-hosted Full-Stack Node/React App</w:t>
            </w:r>
          </w:p>
        </w:tc>
      </w:tr>
      <w:tr>
        <w:tc>
          <w:tcPr>
            <w:tcW w:type="dxa" w:w="1806"/>
            <w:tcMar>
              <w:top w:w="100" w:type="dxa"/>
              <w:bottom w:w="100" w:type="dxa"/>
              <w:left w:w="130" w:type="dxa"/>
              <w:right w:w="130" w:type="dxa"/>
            </w:tcMar>
            <w:vAlign w:val="center"/>
            <w:shd w:fill="FFFFFF"/>
          </w:tcPr>
          <w:p>
            <w:pPr>
              <w:spacing w:before="40" w:after="40" w:line="276" w:lineRule="auto"/>
              <w:jc w:val="left"/>
            </w:pPr>
            <w:r>
              <w:rPr>
                <w:rFonts w:ascii="Calibri" w:hAnsi="Calibri"/>
                <w:b/>
                <w:i w:val="0"/>
                <w:color w:val="2D3748"/>
                <w:sz w:val="19"/>
              </w:rPr>
              <w:t>Cost &amp; Privacy</w:t>
            </w:r>
          </w:p>
        </w:tc>
        <w:tc>
          <w:tcPr>
            <w:tcW w:type="dxa" w:w="1806"/>
            <w:tcMar>
              <w:top w:w="100" w:type="dxa"/>
              <w:bottom w:w="100" w:type="dxa"/>
              <w:left w:w="130" w:type="dxa"/>
              <w:right w:w="130" w:type="dxa"/>
            </w:tcMar>
            <w:vAlign w:val="center"/>
            <w:shd w:fill="FFFFFF"/>
          </w:tcPr>
          <w:p>
            <w:pPr>
              <w:spacing w:before="40" w:after="40" w:line="276" w:lineRule="auto"/>
              <w:jc w:val="left"/>
            </w:pPr>
            <w:r>
              <w:rPr>
                <w:rFonts w:ascii="Calibri" w:hAnsi="Calibri"/>
                <w:b w:val="0"/>
                <w:i w:val="0"/>
                <w:color w:val="2D3748"/>
                <w:sz w:val="19"/>
              </w:rPr>
              <w:t>Commercial licensing</w:t>
            </w:r>
          </w:p>
        </w:tc>
        <w:tc>
          <w:tcPr>
            <w:tcW w:type="dxa" w:w="1806"/>
            <w:tcMar>
              <w:top w:w="100" w:type="dxa"/>
              <w:bottom w:w="100" w:type="dxa"/>
              <w:left w:w="130" w:type="dxa"/>
              <w:right w:w="130" w:type="dxa"/>
            </w:tcMar>
            <w:vAlign w:val="center"/>
            <w:shd w:fill="FFFFFF"/>
          </w:tcPr>
          <w:p>
            <w:pPr>
              <w:spacing w:before="40" w:after="40" w:line="276" w:lineRule="auto"/>
              <w:jc w:val="left"/>
            </w:pPr>
            <w:r>
              <w:rPr>
                <w:rFonts w:ascii="Calibri" w:hAnsi="Calibri"/>
                <w:b w:val="0"/>
                <w:i w:val="0"/>
                <w:color w:val="2D3748"/>
                <w:sz w:val="19"/>
              </w:rPr>
              <w:t>Free / Open Source</w:t>
            </w:r>
          </w:p>
        </w:tc>
        <w:tc>
          <w:tcPr>
            <w:tcW w:type="dxa" w:w="1806"/>
            <w:tcMar>
              <w:top w:w="100" w:type="dxa"/>
              <w:bottom w:w="100" w:type="dxa"/>
              <w:left w:w="130" w:type="dxa"/>
              <w:right w:w="130" w:type="dxa"/>
            </w:tcMar>
            <w:vAlign w:val="center"/>
            <w:shd w:fill="FFFFFF"/>
          </w:tcPr>
          <w:p>
            <w:pPr>
              <w:spacing w:before="40" w:after="40" w:line="276" w:lineRule="auto"/>
              <w:jc w:val="left"/>
            </w:pPr>
            <w:r>
              <w:rPr>
                <w:rFonts w:ascii="Calibri" w:hAnsi="Calibri"/>
                <w:b w:val="0"/>
                <w:i w:val="0"/>
                <w:color w:val="2D3748"/>
                <w:sz w:val="19"/>
              </w:rPr>
              <w:t>Expensive enterprise subscription</w:t>
            </w:r>
          </w:p>
        </w:tc>
        <w:tc>
          <w:tcPr>
            <w:tcW w:type="dxa" w:w="1806"/>
            <w:tcMar>
              <w:top w:w="100" w:type="dxa"/>
              <w:bottom w:w="100" w:type="dxa"/>
              <w:left w:w="130" w:type="dxa"/>
              <w:right w:w="130" w:type="dxa"/>
            </w:tcMar>
            <w:vAlign w:val="center"/>
            <w:shd w:fill="FFFFFF"/>
          </w:tcPr>
          <w:p>
            <w:pPr>
              <w:spacing w:before="40" w:after="40" w:line="276" w:lineRule="auto"/>
              <w:jc w:val="left"/>
            </w:pPr>
            <w:r>
              <w:rPr>
                <w:rFonts w:ascii="Calibri" w:hAnsi="Calibri"/>
                <w:b/>
                <w:i w:val="0"/>
                <w:color w:val="2D3748"/>
                <w:sz w:val="19"/>
              </w:rPr>
              <w:t>Free, Open-Source, Zero Tracking Cookies</w:t>
            </w:r>
          </w:p>
        </w:tc>
      </w:tr>
    </w:tbl>
    <w:p>
      <w:pPr>
        <w:spacing w:after="80"/>
      </w:pPr>
    </w:p>
    <w:p>
      <w:pPr>
        <w:spacing w:before="120" w:after="120" w:line="300" w:lineRule="auto"/>
        <w:jc w:val="center"/>
      </w:pPr>
      <w:r>
        <w:rPr>
          <w:color w:val="E2E8F0"/>
          <w:sz w:val="20"/>
        </w:rPr>
        <w:t>―――――――――――――――――――――――――――――――――――――――――――――――――――――――</w:t>
      </w:r>
    </w:p>
    <w:p>
      <w:pPr>
        <w:keepNext/>
        <w:spacing w:before="280" w:after="80" w:line="300" w:lineRule="auto"/>
        <w:jc w:val="left"/>
      </w:pPr>
      <w:r>
        <w:rPr>
          <w:rFonts w:ascii="Calibri" w:hAnsi="Calibri"/>
          <w:b/>
          <w:i w:val="0"/>
          <w:color w:val="2B6CB0"/>
          <w:sz w:val="30"/>
        </w:rPr>
        <w:t>7. PROPOSED SYSTEM</w:t>
      </w:r>
    </w:p>
    <w:p>
      <w:pPr>
        <w:spacing w:before="40" w:after="120" w:line="300" w:lineRule="auto"/>
        <w:jc w:val="both"/>
      </w:pPr>
      <w:r>
        <w:rPr>
          <w:rFonts w:ascii="Calibri" w:hAnsi="Calibri"/>
          <w:b w:val="0"/>
          <w:i w:val="0"/>
          <w:color w:val="2D3748"/>
          <w:sz w:val="22"/>
        </w:rPr>
        <w:t>DASS provides a unified, full-stack intelligence workstation engineered from first principles for safety, transparency, and explainability.</w:t>
      </w:r>
    </w:p>
    <w:p>
      <w:pPr>
        <w:keepNext/>
        <w:spacing w:before="200" w:after="60" w:line="300" w:lineRule="auto"/>
        <w:jc w:val="left"/>
      </w:pPr>
      <w:r>
        <w:rPr>
          <w:rFonts w:ascii="Calibri" w:hAnsi="Calibri"/>
          <w:b/>
          <w:i w:val="0"/>
          <w:color w:val="2C5282"/>
          <w:sz w:val="25"/>
        </w:rPr>
        <w:t>7.1 Architecture of the Proposed Solution</w:t>
      </w:r>
    </w:p>
    <w:p>
      <w:pPr>
        <w:spacing w:before="40" w:after="120" w:line="300" w:lineRule="auto"/>
        <w:jc w:val="both"/>
      </w:pPr>
      <w:r>
        <w:rPr>
          <w:rFonts w:ascii="Calibri" w:hAnsi="Calibri"/>
          <w:b w:val="0"/>
          <w:i w:val="0"/>
          <w:color w:val="2D3748"/>
          <w:sz w:val="22"/>
        </w:rPr>
        <w:t>The proposed system decouples the intelligence collection pipeline into modular, fault-tolerant background workers. Each worker queries a distinct passive vector—DNS, Certificate Transparency, WHOIS/RDAP, TLS handshakes, HTTP response banners, IP intelligence, and Shodan InternetDB. A central scan coordinator orchestrates these workers under strict per-scan time and request budgets.</w:t>
      </w:r>
    </w:p>
    <w:tbl>
      <w:tblPr>
        <w:tblW w:type="auto" w:w="0"/>
        <w:jc w:val="center"/>
        <w:tblLook w:firstColumn="1" w:firstRow="1" w:lastColumn="0" w:lastRow="0" w:noHBand="0" w:noVBand="1" w:val="04A0"/>
      </w:tblPr>
      <w:tblGrid>
        <w:gridCol w:w="9029"/>
      </w:tblGrid>
      <w:tr>
        <w:tc>
          <w:tcPr>
            <w:tcW w:type="dxa" w:w="9029"/>
            <w:tcMar>
              <w:top w:w="100" w:type="dxa"/>
              <w:bottom w:w="100" w:type="dxa"/>
              <w:left w:w="140" w:type="dxa"/>
              <w:right w:w="140" w:type="dxa"/>
            </w:tcMar>
            <w:shd w:fill="F1F5F9"/>
          </w:tcPr>
          <w:p>
            <w:pPr>
              <w:spacing w:before="40" w:after="40" w:line="252" w:lineRule="auto"/>
              <w:jc w:val="left"/>
            </w:pPr>
            <w:r>
              <w:rPr>
                <w:rFonts w:ascii="Consolas" w:hAnsi="Consolas"/>
                <w:b w:val="0"/>
                <w:i w:val="0"/>
                <w:color w:val="1A202C"/>
                <w:sz w:val="17"/>
              </w:rPr>
              <w:t xml:space="preserve">       +-------------------------------------------------------+</w:t>
              <w:br/>
              <w:t xml:space="preserve">       |             Client Browser (React 19 + Vite)          |</w:t>
              <w:br/>
              <w:t xml:space="preserve">       |  - Editorial Workstation UI (Dark/Light Custom CSS)   |</w:t>
              <w:br/>
              <w:t xml:space="preserve">       |  - Telemetry Overview, Score Breakdown &amp; Audit        |</w:t>
              <w:br/>
              <w:t xml:space="preserve">       |  - SVG Attack Surface Graph &amp; Leaflet Pop Map         |</w:t>
              <w:br/>
              <w:t xml:space="preserve">       |  - Findings Accordion with 10-Section Analysis        |</w:t>
              <w:br/>
              <w:t xml:space="preserve">       +-------------------------------------------------------+</w:t>
              <w:br/>
              <w:t xml:space="preserve">                                   |</w:t>
              <w:br/>
              <w:t xml:space="preserve">                         HTTP / REST API (JSON)</w:t>
              <w:br/>
              <w:t xml:space="preserve">                                   v</w:t>
              <w:br/>
              <w:t xml:space="preserve">       +-------------------------------------------------------+</w:t>
              <w:br/>
              <w:t xml:space="preserve">       |            Server Application (Node.js/Express)       |</w:t>
              <w:br/>
              <w:t xml:space="preserve">       |  - Input Validation &amp; Public DNS Resolution Guard     |</w:t>
              <w:br/>
              <w:t xml:space="preserve">       |  - Hardened SSRF Filter (Blocks Private/Link-Local)   |</w:t>
              <w:br/>
              <w:t xml:space="preserve">       |  - Sliding-Window Quota Service (5/hr anon, 50/hr reg)|</w:t>
              <w:br/>
              <w:t xml:space="preserve">       |  - Scrypt Session &amp; Ownership Authorization Guards    |</w:t>
              <w:br/>
              <w:t xml:space="preserve">       +-------------------------------------------------------+</w:t>
              <w:br/>
              <w:t xml:space="preserve">                                   |</w:t>
              <w:br/>
              <w:t xml:space="preserve">                     Dispatches Intelligence Pipeline</w:t>
              <w:br/>
              <w:t xml:space="preserve">                                   v</w:t>
              <w:br/>
              <w:t xml:space="preserve">       +-------------------------------------------------------+</w:t>
              <w:br/>
              <w:t xml:space="preserve">       |             Modular Intelligence Services             |</w:t>
              <w:br/>
              <w:t xml:space="preserve">       |  1. DNS Resolver (A, AAAA, MX, TXT, NS, CAA, DNSSEC)  |</w:t>
              <w:br/>
              <w:t xml:space="preserve">       |  2. Certificate Transparency Miner (crt.sh Logs)      |</w:t>
              <w:br/>
              <w:t xml:space="preserve">       |  3. Registration Intelligence (WHOIS / RDAP)          |</w:t>
              <w:br/>
              <w:t xml:space="preserve">       |  4. TLS Handshake Analyzer (Ciphers, Validity, Expiry)|</w:t>
              <w:br/>
              <w:t xml:space="preserve">       |  5. HTTP Transport Auditor (Safe HTTP, HSTS, Headers) |</w:t>
              <w:br/>
              <w:t xml:space="preserve">       |  6. Email Defense Analyzer (SPF Syntax, DMARC Rules)  |</w:t>
              <w:br/>
              <w:t xml:space="preserve">       |  7. IP Intelligence (BGP ASN, Org, Anycast, Geolocation)|</w:t>
              <w:br/>
              <w:t xml:space="preserve">       |  8. Shodan InternetDB &amp; CVE Enrichment (Passive Ports) |</w:t>
              <w:br/>
              <w:t xml:space="preserve">       |  9. Cloud Bucket &amp; Document Metadata Safe Probes      |</w:t>
              <w:br/>
              <w:t xml:space="preserve">       +-------------------------------------------------------+</w:t>
              <w:br/>
              <w:t xml:space="preserve">                                   |</w:t>
              <w:br/>
              <w:t xml:space="preserve">                  Passes Raw Evidence to Aggregator</w:t>
              <w:br/>
              <w:t xml:space="preserve">                                   v</w:t>
              <w:br/>
              <w:t xml:space="preserve">       +-------------------------------------------------------+</w:t>
              <w:br/>
              <w:t xml:space="preserve">       |             Normalization &amp; Correlation Engine        |</w:t>
              <w:br/>
              <w:t xml:space="preserve">       |  - Typed Asset Deduplication (DOMAIN, IP, ASN, etc.)  |</w:t>
              <w:br/>
              <w:t xml:space="preserve">       |  - Directed Relationship Graph Construction           |</w:t>
              <w:br/>
              <w:t xml:space="preserve">       |  - 21-Rule Deterministic Finding Synthesis            |</w:t>
              <w:br/>
              <w:t xml:space="preserve">       |  - Single-Pass External Hygiene Score (v1 Engine)     |</w:t>
              <w:br/>
              <w:t xml:space="preserve">       +-------------------------------------------------------+</w:t>
              <w:br/>
              <w:t xml:space="preserve">                                   |</w:t>
              <w:br/>
              <w:t xml:space="preserve">                 Stores Scan &amp; Responds to Client</w:t>
              <w:br/>
              <w:t xml:space="preserve">                                   v</w:t>
              <w:br/>
              <w:t xml:space="preserve">       +-------------------------------------------------------+</w:t>
              <w:br/>
              <w:t xml:space="preserve">       |                  Persistence Layer                    |</w:t>
              <w:br/>
              <w:t xml:space="preserve">       |  - Production: PostgreSQL (pg.Pool, relational schema)|</w:t>
              <w:br/>
              <w:t xml:space="preserve">       |  - Dev/CI: In-Memory / File Atomic Store (dass_db.json)|</w:t>
              <w:br/>
              <w:t xml:space="preserve">       +-------------------------------------------------------+</w:t>
            </w:r>
          </w:p>
        </w:tc>
      </w:tr>
    </w:tbl>
    <w:p>
      <w:pPr>
        <w:spacing w:after="80"/>
      </w:pPr>
    </w:p>
    <w:p>
      <w:pPr>
        <w:keepNext/>
        <w:spacing w:before="200" w:after="60" w:line="300" w:lineRule="auto"/>
        <w:jc w:val="left"/>
      </w:pPr>
      <w:r>
        <w:rPr>
          <w:rFonts w:ascii="Calibri" w:hAnsi="Calibri"/>
          <w:b/>
          <w:i w:val="0"/>
          <w:color w:val="2C5282"/>
          <w:sz w:val="25"/>
        </w:rPr>
        <w:t>7.2 Core Tenets of DASS</w:t>
      </w:r>
    </w:p>
    <w:p>
      <w:pPr>
        <w:spacing w:before="20" w:after="60" w:line="276" w:lineRule="auto"/>
        <w:ind w:left="360"/>
        <w:jc w:val="left"/>
      </w:pPr>
      <w:r>
        <w:rPr>
          <w:rFonts w:ascii="Calibri" w:hAnsi="Calibri"/>
          <w:b/>
          <w:i w:val="0"/>
          <w:color w:val="2B6CB0"/>
          <w:sz w:val="21"/>
        </w:rPr>
        <w:t xml:space="preserve">1.  </w:t>
      </w:r>
      <w:r>
        <w:rPr>
          <w:rFonts w:ascii="Calibri" w:hAnsi="Calibri"/>
          <w:b/>
          <w:i w:val="0"/>
          <w:color w:val="2D3748"/>
          <w:sz w:val="21"/>
        </w:rPr>
        <w:t>Passive-First Reconnaissance:</w:t>
      </w:r>
      <w:r>
        <w:rPr>
          <w:rFonts w:ascii="Calibri" w:hAnsi="Calibri"/>
          <w:b w:val="0"/>
          <w:i w:val="0"/>
          <w:color w:val="2D3748"/>
          <w:sz w:val="21"/>
        </w:rPr>
        <w:t xml:space="preserve"> DASS strictly queries authoritative public records, cached log registries, or issues lightweight HTTP GET/HEAD requests to standard web ports (80/443). It never executes port scans or brute-force fuzzing.</w:t>
      </w:r>
    </w:p>
    <w:p>
      <w:pPr>
        <w:spacing w:before="20" w:after="60" w:line="276" w:lineRule="auto"/>
        <w:ind w:left="360"/>
        <w:jc w:val="left"/>
      </w:pPr>
      <w:r>
        <w:rPr>
          <w:rFonts w:ascii="Calibri" w:hAnsi="Calibri"/>
          <w:b/>
          <w:i w:val="0"/>
          <w:color w:val="2B6CB0"/>
          <w:sz w:val="21"/>
        </w:rPr>
        <w:t xml:space="preserve">2.  </w:t>
      </w:r>
      <w:r>
        <w:rPr>
          <w:rFonts w:ascii="Calibri" w:hAnsi="Calibri"/>
          <w:b/>
          <w:i w:val="0"/>
          <w:color w:val="2D3748"/>
          <w:sz w:val="21"/>
        </w:rPr>
        <w:t>Epistemic Integrity:</w:t>
      </w:r>
      <w:r>
        <w:rPr>
          <w:rFonts w:ascii="Calibri" w:hAnsi="Calibri"/>
          <w:b w:val="0"/>
          <w:i w:val="0"/>
          <w:color w:val="2D3748"/>
          <w:sz w:val="21"/>
        </w:rPr>
        <w:t xml:space="preserve"> If a network error, DNS timeout, or provider rate limit occurs, DASS sets the category status to </w:t>
      </w:r>
      <w:r>
        <w:rPr>
          <w:rFonts w:ascii="Consolas" w:hAnsi="Consolas"/>
          <w:b w:val="0"/>
          <w:i w:val="0"/>
          <w:color w:val="2C5282"/>
          <w:sz w:val="19"/>
        </w:rPr>
        <w:t>failed</w:t>
      </w:r>
      <w:r>
        <w:rPr>
          <w:rFonts w:ascii="Calibri" w:hAnsi="Calibri"/>
          <w:b w:val="0"/>
          <w:i w:val="0"/>
          <w:color w:val="2D3748"/>
          <w:sz w:val="21"/>
        </w:rPr>
        <w:t xml:space="preserve"> and records diagnostic warnings. It strictly refuses to assess score deductions for incomplete evidence.</w:t>
      </w:r>
    </w:p>
    <w:p>
      <w:pPr>
        <w:spacing w:before="20" w:after="60" w:line="276" w:lineRule="auto"/>
        <w:ind w:left="360"/>
        <w:jc w:val="left"/>
      </w:pPr>
      <w:r>
        <w:rPr>
          <w:rFonts w:ascii="Calibri" w:hAnsi="Calibri"/>
          <w:b/>
          <w:i w:val="0"/>
          <w:color w:val="2B6CB0"/>
          <w:sz w:val="21"/>
        </w:rPr>
        <w:t xml:space="preserve">3.  </w:t>
      </w:r>
      <w:r>
        <w:rPr>
          <w:rFonts w:ascii="Calibri" w:hAnsi="Calibri"/>
          <w:b/>
          <w:i w:val="0"/>
          <w:color w:val="2D3748"/>
          <w:sz w:val="21"/>
        </w:rPr>
        <w:t>Structured Analytical Findings:</w:t>
      </w:r>
      <w:r>
        <w:rPr>
          <w:rFonts w:ascii="Calibri" w:hAnsi="Calibri"/>
          <w:b w:val="0"/>
          <w:i w:val="0"/>
          <w:color w:val="2D3748"/>
          <w:sz w:val="21"/>
        </w:rPr>
        <w:t xml:space="preserve"> Findings are not simple one-line alerts. Each finding is enriched with an exhaustive 10-section analysis explaining the underlying concept, what was observed, why it matters, realistic security impact, potential abuse avenues, and safe validation steps.</w:t>
      </w:r>
    </w:p>
    <w:p>
      <w:pPr>
        <w:spacing w:before="20" w:after="60" w:line="276" w:lineRule="auto"/>
        <w:ind w:left="360"/>
        <w:jc w:val="left"/>
      </w:pPr>
      <w:r>
        <w:rPr>
          <w:rFonts w:ascii="Calibri" w:hAnsi="Calibri"/>
          <w:b/>
          <w:i w:val="0"/>
          <w:color w:val="2B6CB0"/>
          <w:sz w:val="21"/>
        </w:rPr>
        <w:t xml:space="preserve">4.  </w:t>
      </w:r>
      <w:r>
        <w:rPr>
          <w:rFonts w:ascii="Calibri" w:hAnsi="Calibri"/>
          <w:b/>
          <w:i w:val="0"/>
          <w:color w:val="2D3748"/>
          <w:sz w:val="21"/>
        </w:rPr>
        <w:t>Complete Privacy and Data Minimization:</w:t>
      </w:r>
      <w:r>
        <w:rPr>
          <w:rFonts w:ascii="Calibri" w:hAnsi="Calibri"/>
          <w:b w:val="0"/>
          <w:i w:val="0"/>
          <w:color w:val="2D3748"/>
          <w:sz w:val="21"/>
        </w:rPr>
        <w:t xml:space="preserve"> Anonymous scans require zero authentication cookies and automatically expire. User accounts use RFC 7914 Scrypt password hashing. A user can trigger complete, cascading account deletion (</w:t>
      </w:r>
      <w:r>
        <w:rPr>
          <w:rFonts w:ascii="Consolas" w:hAnsi="Consolas"/>
          <w:b w:val="0"/>
          <w:i w:val="0"/>
          <w:color w:val="2C5282"/>
          <w:sz w:val="19"/>
        </w:rPr>
        <w:t>DELETE /api/auth/me</w:t>
      </w:r>
      <w:r>
        <w:rPr>
          <w:rFonts w:ascii="Calibri" w:hAnsi="Calibri"/>
          <w:b w:val="0"/>
          <w:i w:val="0"/>
          <w:color w:val="2D3748"/>
          <w:sz w:val="21"/>
        </w:rPr>
        <w:t>) at any time.</w:t>
      </w:r>
    </w:p>
    <w:p>
      <w:pPr>
        <w:spacing w:before="120" w:after="120" w:line="300" w:lineRule="auto"/>
        <w:jc w:val="center"/>
      </w:pPr>
      <w:r>
        <w:rPr>
          <w:color w:val="E2E8F0"/>
          <w:sz w:val="20"/>
        </w:rPr>
        <w:t>―――――――――――――――――――――――――――――――――――――――――――――――――――――――</w:t>
      </w:r>
    </w:p>
    <w:p>
      <w:pPr>
        <w:keepNext/>
        <w:spacing w:before="280" w:after="80" w:line="300" w:lineRule="auto"/>
        <w:jc w:val="left"/>
      </w:pPr>
      <w:r>
        <w:rPr>
          <w:rFonts w:ascii="Calibri" w:hAnsi="Calibri"/>
          <w:b/>
          <w:i w:val="0"/>
          <w:color w:val="2B6CB0"/>
          <w:sz w:val="30"/>
        </w:rPr>
        <w:t>8. SYSTEM REQUIREMENTS</w:t>
      </w:r>
    </w:p>
    <w:p>
      <w:pPr>
        <w:keepNext/>
        <w:spacing w:before="200" w:after="60" w:line="300" w:lineRule="auto"/>
        <w:jc w:val="left"/>
      </w:pPr>
      <w:r>
        <w:rPr>
          <w:rFonts w:ascii="Calibri" w:hAnsi="Calibri"/>
          <w:b/>
          <w:i w:val="0"/>
          <w:color w:val="2C5282"/>
          <w:sz w:val="25"/>
        </w:rPr>
        <w:t>8.1 Software and Runtime Requirements</w:t>
      </w:r>
    </w:p>
    <w:p>
      <w:pPr>
        <w:spacing w:before="40" w:after="120" w:line="300" w:lineRule="auto"/>
        <w:jc w:val="both"/>
      </w:pPr>
      <w:r>
        <w:rPr>
          <w:rFonts w:ascii="Calibri" w:hAnsi="Calibri"/>
          <w:b w:val="0"/>
          <w:i w:val="0"/>
          <w:color w:val="2D3748"/>
          <w:sz w:val="22"/>
        </w:rPr>
        <w:t>The system is constructed using modern, verified open-source software technologies:</w:t>
      </w:r>
    </w:p>
    <w:tbl>
      <w:tblPr>
        <w:tblW w:type="auto" w:w="0"/>
        <w:jc w:val="center"/>
        <w:tblLook w:firstColumn="1" w:firstRow="1" w:lastColumn="0" w:lastRow="0" w:noHBand="0" w:noVBand="1" w:val="04A0"/>
        <w:tblBorders>
          <w:top w:val="single" w:sz="4" w:space="0" w:color="CBD5E0"/>
          <w:bottom w:val="single" w:sz="6" w:space="0" w:color="1A365D"/>
          <w:insideH w:val="single" w:sz="4" w:space="0" w:color="CBD5E0"/>
          <w:insideV w:val="none"/>
          <w:left w:val="none"/>
          <w:right w:val="none"/>
        </w:tblBorders>
      </w:tblPr>
      <w:tblGrid>
        <w:gridCol w:w="3010"/>
        <w:gridCol w:w="3010"/>
        <w:gridCol w:w="3010"/>
      </w:tblGrid>
      <w:tr>
        <w:tc>
          <w:tcPr>
            <w:tcW w:type="dxa" w:w="3010"/>
            <w:tcMar>
              <w:top w:w="100" w:type="dxa"/>
              <w:bottom w:w="100" w:type="dxa"/>
              <w:left w:w="130" w:type="dxa"/>
              <w:right w:w="130" w:type="dxa"/>
            </w:tcMar>
            <w:vAlign w:val="center"/>
            <w:shd w:fill="1A365D"/>
          </w:tcPr>
          <w:p>
            <w:pPr>
              <w:spacing w:before="40" w:after="40" w:line="276" w:lineRule="auto"/>
              <w:jc w:val="left"/>
            </w:pPr>
            <w:r>
              <w:rPr>
                <w:rFonts w:ascii="Calibri" w:hAnsi="Calibri"/>
                <w:b/>
                <w:i w:val="0"/>
                <w:color w:val="FFFFFF"/>
                <w:sz w:val="19"/>
              </w:rPr>
              <w:t>Component</w:t>
            </w:r>
          </w:p>
        </w:tc>
        <w:tc>
          <w:tcPr>
            <w:tcW w:type="dxa" w:w="3010"/>
            <w:tcMar>
              <w:top w:w="100" w:type="dxa"/>
              <w:bottom w:w="100" w:type="dxa"/>
              <w:left w:w="130" w:type="dxa"/>
              <w:right w:w="130" w:type="dxa"/>
            </w:tcMar>
            <w:vAlign w:val="center"/>
            <w:shd w:fill="1A365D"/>
          </w:tcPr>
          <w:p>
            <w:pPr>
              <w:spacing w:before="40" w:after="40" w:line="276" w:lineRule="auto"/>
              <w:jc w:val="left"/>
            </w:pPr>
            <w:r>
              <w:rPr>
                <w:rFonts w:ascii="Calibri" w:hAnsi="Calibri"/>
                <w:b/>
                <w:i w:val="0"/>
                <w:color w:val="FFFFFF"/>
                <w:sz w:val="19"/>
              </w:rPr>
              <w:t>Verified Technology / Version</w:t>
            </w:r>
          </w:p>
        </w:tc>
        <w:tc>
          <w:tcPr>
            <w:tcW w:type="dxa" w:w="3010"/>
            <w:tcMar>
              <w:top w:w="100" w:type="dxa"/>
              <w:bottom w:w="100" w:type="dxa"/>
              <w:left w:w="130" w:type="dxa"/>
              <w:right w:w="130" w:type="dxa"/>
            </w:tcMar>
            <w:vAlign w:val="center"/>
            <w:shd w:fill="1A365D"/>
          </w:tcPr>
          <w:p>
            <w:pPr>
              <w:spacing w:before="40" w:after="40" w:line="276" w:lineRule="auto"/>
              <w:jc w:val="left"/>
            </w:pPr>
            <w:r>
              <w:rPr>
                <w:rFonts w:ascii="Calibri" w:hAnsi="Calibri"/>
                <w:b/>
                <w:i w:val="0"/>
                <w:color w:val="FFFFFF"/>
                <w:sz w:val="19"/>
              </w:rPr>
              <w:t>Role in DASS</w:t>
            </w:r>
          </w:p>
        </w:tc>
      </w:tr>
      <w:tr>
        <w:tc>
          <w:tcPr>
            <w:tcW w:type="dxa" w:w="3010"/>
            <w:tcMar>
              <w:top w:w="100" w:type="dxa"/>
              <w:bottom w:w="100" w:type="dxa"/>
              <w:left w:w="130" w:type="dxa"/>
              <w:right w:w="130" w:type="dxa"/>
            </w:tcMar>
            <w:vAlign w:val="center"/>
            <w:shd w:fill="FFFFFF"/>
          </w:tcPr>
          <w:p>
            <w:pPr>
              <w:spacing w:before="40" w:after="40" w:line="276" w:lineRule="auto"/>
              <w:jc w:val="left"/>
            </w:pPr>
            <w:r>
              <w:rPr>
                <w:rFonts w:ascii="Calibri" w:hAnsi="Calibri"/>
                <w:b/>
                <w:i w:val="0"/>
                <w:color w:val="2D3748"/>
                <w:sz w:val="19"/>
              </w:rPr>
              <w:t>Runtime Environment</w:t>
            </w:r>
          </w:p>
        </w:tc>
        <w:tc>
          <w:tcPr>
            <w:tcW w:type="dxa" w:w="3010"/>
            <w:tcMar>
              <w:top w:w="100" w:type="dxa"/>
              <w:bottom w:w="100" w:type="dxa"/>
              <w:left w:w="130" w:type="dxa"/>
              <w:right w:w="130" w:type="dxa"/>
            </w:tcMar>
            <w:vAlign w:val="center"/>
            <w:shd w:fill="FFFFFF"/>
          </w:tcPr>
          <w:p>
            <w:pPr>
              <w:spacing w:before="40" w:after="40" w:line="276" w:lineRule="auto"/>
              <w:jc w:val="left"/>
            </w:pPr>
            <w:r>
              <w:rPr>
                <w:rFonts w:ascii="Calibri" w:hAnsi="Calibri"/>
                <w:b w:val="0"/>
                <w:i w:val="0"/>
                <w:color w:val="2D3748"/>
                <w:sz w:val="19"/>
              </w:rPr>
              <w:t>Node.js v18.0.0 or higher (v20+ verified in CI)</w:t>
            </w:r>
          </w:p>
        </w:tc>
        <w:tc>
          <w:tcPr>
            <w:tcW w:type="dxa" w:w="3010"/>
            <w:tcMar>
              <w:top w:w="100" w:type="dxa"/>
              <w:bottom w:w="100" w:type="dxa"/>
              <w:left w:w="130" w:type="dxa"/>
              <w:right w:w="130" w:type="dxa"/>
            </w:tcMar>
            <w:vAlign w:val="center"/>
            <w:shd w:fill="FFFFFF"/>
          </w:tcPr>
          <w:p>
            <w:pPr>
              <w:spacing w:before="40" w:after="40" w:line="276" w:lineRule="auto"/>
              <w:jc w:val="left"/>
            </w:pPr>
            <w:r>
              <w:rPr>
                <w:rFonts w:ascii="Calibri" w:hAnsi="Calibri"/>
                <w:b w:val="0"/>
                <w:i w:val="0"/>
                <w:color w:val="2D3748"/>
                <w:sz w:val="19"/>
              </w:rPr>
              <w:t>Asynchronous backend server execution</w:t>
            </w:r>
          </w:p>
        </w:tc>
      </w:tr>
      <w:tr>
        <w:tc>
          <w:tcPr>
            <w:tcW w:type="dxa" w:w="3010"/>
            <w:tcMar>
              <w:top w:w="100" w:type="dxa"/>
              <w:bottom w:w="100" w:type="dxa"/>
              <w:left w:w="130" w:type="dxa"/>
              <w:right w:w="130" w:type="dxa"/>
            </w:tcMar>
            <w:vAlign w:val="center"/>
            <w:shd w:fill="F7FAFC"/>
          </w:tcPr>
          <w:p>
            <w:pPr>
              <w:spacing w:before="40" w:after="40" w:line="276" w:lineRule="auto"/>
              <w:jc w:val="left"/>
            </w:pPr>
            <w:r>
              <w:rPr>
                <w:rFonts w:ascii="Calibri" w:hAnsi="Calibri"/>
                <w:b/>
                <w:i w:val="0"/>
                <w:color w:val="2D3748"/>
                <w:sz w:val="19"/>
              </w:rPr>
              <w:t>Package Manager</w:t>
            </w:r>
          </w:p>
        </w:tc>
        <w:tc>
          <w:tcPr>
            <w:tcW w:type="dxa" w:w="3010"/>
            <w:tcMar>
              <w:top w:w="100" w:type="dxa"/>
              <w:bottom w:w="100" w:type="dxa"/>
              <w:left w:w="130" w:type="dxa"/>
              <w:right w:w="130" w:type="dxa"/>
            </w:tcMar>
            <w:vAlign w:val="center"/>
            <w:shd w:fill="F7FAFC"/>
          </w:tcPr>
          <w:p>
            <w:pPr>
              <w:spacing w:before="40" w:after="40" w:line="276" w:lineRule="auto"/>
              <w:jc w:val="left"/>
            </w:pPr>
            <w:r>
              <w:rPr>
                <w:rFonts w:ascii="Calibri" w:hAnsi="Calibri"/>
                <w:b w:val="0"/>
                <w:i w:val="0"/>
                <w:color w:val="2D3748"/>
                <w:sz w:val="19"/>
              </w:rPr>
              <w:t>npm v9.0.0 or higher</w:t>
            </w:r>
          </w:p>
        </w:tc>
        <w:tc>
          <w:tcPr>
            <w:tcW w:type="dxa" w:w="3010"/>
            <w:tcMar>
              <w:top w:w="100" w:type="dxa"/>
              <w:bottom w:w="100" w:type="dxa"/>
              <w:left w:w="130" w:type="dxa"/>
              <w:right w:w="130" w:type="dxa"/>
            </w:tcMar>
            <w:vAlign w:val="center"/>
            <w:shd w:fill="F7FAFC"/>
          </w:tcPr>
          <w:p>
            <w:pPr>
              <w:spacing w:before="40" w:after="40" w:line="276" w:lineRule="auto"/>
              <w:jc w:val="left"/>
            </w:pPr>
            <w:r>
              <w:rPr>
                <w:rFonts w:ascii="Calibri" w:hAnsi="Calibri"/>
                <w:b w:val="0"/>
                <w:i w:val="0"/>
                <w:color w:val="2D3748"/>
                <w:sz w:val="19"/>
              </w:rPr>
              <w:t>Monorepo workspace package management</w:t>
            </w:r>
          </w:p>
        </w:tc>
      </w:tr>
      <w:tr>
        <w:tc>
          <w:tcPr>
            <w:tcW w:type="dxa" w:w="3010"/>
            <w:tcMar>
              <w:top w:w="100" w:type="dxa"/>
              <w:bottom w:w="100" w:type="dxa"/>
              <w:left w:w="130" w:type="dxa"/>
              <w:right w:w="130" w:type="dxa"/>
            </w:tcMar>
            <w:vAlign w:val="center"/>
            <w:shd w:fill="FFFFFF"/>
          </w:tcPr>
          <w:p>
            <w:pPr>
              <w:spacing w:before="40" w:after="40" w:line="276" w:lineRule="auto"/>
              <w:jc w:val="left"/>
            </w:pPr>
            <w:r>
              <w:rPr>
                <w:rFonts w:ascii="Calibri" w:hAnsi="Calibri"/>
                <w:b/>
                <w:i w:val="0"/>
                <w:color w:val="2D3748"/>
                <w:sz w:val="19"/>
              </w:rPr>
              <w:t>Backend Framework</w:t>
            </w:r>
          </w:p>
        </w:tc>
        <w:tc>
          <w:tcPr>
            <w:tcW w:type="dxa" w:w="3010"/>
            <w:tcMar>
              <w:top w:w="100" w:type="dxa"/>
              <w:bottom w:w="100" w:type="dxa"/>
              <w:left w:w="130" w:type="dxa"/>
              <w:right w:w="130" w:type="dxa"/>
            </w:tcMar>
            <w:vAlign w:val="center"/>
            <w:shd w:fill="FFFFFF"/>
          </w:tcPr>
          <w:p>
            <w:pPr>
              <w:spacing w:before="40" w:after="40" w:line="276" w:lineRule="auto"/>
              <w:jc w:val="left"/>
            </w:pPr>
            <w:r>
              <w:rPr>
                <w:rFonts w:ascii="Calibri" w:hAnsi="Calibri"/>
                <w:b w:val="0"/>
                <w:i w:val="0"/>
                <w:color w:val="2D3748"/>
                <w:sz w:val="19"/>
              </w:rPr>
              <w:t>Express v4.18.3</w:t>
            </w:r>
          </w:p>
        </w:tc>
        <w:tc>
          <w:tcPr>
            <w:tcW w:type="dxa" w:w="3010"/>
            <w:tcMar>
              <w:top w:w="100" w:type="dxa"/>
              <w:bottom w:w="100" w:type="dxa"/>
              <w:left w:w="130" w:type="dxa"/>
              <w:right w:w="130" w:type="dxa"/>
            </w:tcMar>
            <w:vAlign w:val="center"/>
            <w:shd w:fill="FFFFFF"/>
          </w:tcPr>
          <w:p>
            <w:pPr>
              <w:spacing w:before="40" w:after="40" w:line="276" w:lineRule="auto"/>
              <w:jc w:val="left"/>
            </w:pPr>
            <w:r>
              <w:rPr>
                <w:rFonts w:ascii="Calibri" w:hAnsi="Calibri"/>
                <w:b w:val="0"/>
                <w:i w:val="0"/>
                <w:color w:val="2D3748"/>
                <w:sz w:val="19"/>
              </w:rPr>
              <w:t>REST API routing and middleware pipeline</w:t>
            </w:r>
          </w:p>
        </w:tc>
      </w:tr>
      <w:tr>
        <w:tc>
          <w:tcPr>
            <w:tcW w:type="dxa" w:w="3010"/>
            <w:tcMar>
              <w:top w:w="100" w:type="dxa"/>
              <w:bottom w:w="100" w:type="dxa"/>
              <w:left w:w="130" w:type="dxa"/>
              <w:right w:w="130" w:type="dxa"/>
            </w:tcMar>
            <w:vAlign w:val="center"/>
            <w:shd w:fill="F7FAFC"/>
          </w:tcPr>
          <w:p>
            <w:pPr>
              <w:spacing w:before="40" w:after="40" w:line="276" w:lineRule="auto"/>
              <w:jc w:val="left"/>
            </w:pPr>
            <w:r>
              <w:rPr>
                <w:rFonts w:ascii="Calibri" w:hAnsi="Calibri"/>
                <w:b/>
                <w:i w:val="0"/>
                <w:color w:val="2D3748"/>
                <w:sz w:val="19"/>
              </w:rPr>
              <w:t>Server Language</w:t>
            </w:r>
          </w:p>
        </w:tc>
        <w:tc>
          <w:tcPr>
            <w:tcW w:type="dxa" w:w="3010"/>
            <w:tcMar>
              <w:top w:w="100" w:type="dxa"/>
              <w:bottom w:w="100" w:type="dxa"/>
              <w:left w:w="130" w:type="dxa"/>
              <w:right w:w="130" w:type="dxa"/>
            </w:tcMar>
            <w:vAlign w:val="center"/>
            <w:shd w:fill="F7FAFC"/>
          </w:tcPr>
          <w:p>
            <w:pPr>
              <w:spacing w:before="40" w:after="40" w:line="276" w:lineRule="auto"/>
              <w:jc w:val="left"/>
            </w:pPr>
            <w:r>
              <w:rPr>
                <w:rFonts w:ascii="Calibri" w:hAnsi="Calibri"/>
                <w:b w:val="0"/>
                <w:i w:val="0"/>
                <w:color w:val="2D3748"/>
                <w:sz w:val="19"/>
              </w:rPr>
              <w:t>TypeScript v5.5.2 (Node target ES2022)</w:t>
            </w:r>
          </w:p>
        </w:tc>
        <w:tc>
          <w:tcPr>
            <w:tcW w:type="dxa" w:w="3010"/>
            <w:tcMar>
              <w:top w:w="100" w:type="dxa"/>
              <w:bottom w:w="100" w:type="dxa"/>
              <w:left w:w="130" w:type="dxa"/>
              <w:right w:w="130" w:type="dxa"/>
            </w:tcMar>
            <w:vAlign w:val="center"/>
            <w:shd w:fill="F7FAFC"/>
          </w:tcPr>
          <w:p>
            <w:pPr>
              <w:spacing w:before="40" w:after="40" w:line="276" w:lineRule="auto"/>
              <w:jc w:val="left"/>
            </w:pPr>
            <w:r>
              <w:rPr>
                <w:rFonts w:ascii="Calibri" w:hAnsi="Calibri"/>
                <w:b w:val="0"/>
                <w:i w:val="0"/>
                <w:color w:val="2D3748"/>
                <w:sz w:val="19"/>
              </w:rPr>
              <w:t>Static type safety and structured models</w:t>
            </w:r>
          </w:p>
        </w:tc>
      </w:tr>
      <w:tr>
        <w:tc>
          <w:tcPr>
            <w:tcW w:type="dxa" w:w="3010"/>
            <w:tcMar>
              <w:top w:w="100" w:type="dxa"/>
              <w:bottom w:w="100" w:type="dxa"/>
              <w:left w:w="130" w:type="dxa"/>
              <w:right w:w="130" w:type="dxa"/>
            </w:tcMar>
            <w:vAlign w:val="center"/>
            <w:shd w:fill="FFFFFF"/>
          </w:tcPr>
          <w:p>
            <w:pPr>
              <w:spacing w:before="40" w:after="40" w:line="276" w:lineRule="auto"/>
              <w:jc w:val="left"/>
            </w:pPr>
            <w:r>
              <w:rPr>
                <w:rFonts w:ascii="Calibri" w:hAnsi="Calibri"/>
                <w:b/>
                <w:i w:val="0"/>
                <w:color w:val="2D3748"/>
                <w:sz w:val="19"/>
              </w:rPr>
              <w:t>Database Adapter</w:t>
            </w:r>
          </w:p>
        </w:tc>
        <w:tc>
          <w:tcPr>
            <w:tcW w:type="dxa" w:w="3010"/>
            <w:tcMar>
              <w:top w:w="100" w:type="dxa"/>
              <w:bottom w:w="100" w:type="dxa"/>
              <w:left w:w="130" w:type="dxa"/>
              <w:right w:w="130" w:type="dxa"/>
            </w:tcMar>
            <w:vAlign w:val="center"/>
            <w:shd w:fill="FFFFFF"/>
          </w:tcPr>
          <w:p>
            <w:pPr>
              <w:spacing w:before="40" w:after="40" w:line="276" w:lineRule="auto"/>
              <w:jc w:val="left"/>
            </w:pPr>
            <w:r>
              <w:rPr>
                <w:rFonts w:ascii="Calibri" w:hAnsi="Calibri"/>
                <w:b w:val="0"/>
                <w:i w:val="0"/>
                <w:color w:val="2D3748"/>
                <w:sz w:val="19"/>
              </w:rPr>
              <w:t>PostgreSQL v14+ (</w:t>
            </w:r>
            <w:r>
              <w:rPr>
                <w:rFonts w:ascii="Consolas" w:hAnsi="Consolas"/>
                <w:b w:val="0"/>
                <w:i w:val="0"/>
                <w:color w:val="2C5282"/>
                <w:sz w:val="17"/>
              </w:rPr>
              <w:t>pg</w:t>
            </w:r>
            <w:r>
              <w:rPr>
                <w:rFonts w:ascii="Calibri" w:hAnsi="Calibri"/>
                <w:b w:val="0"/>
                <w:i w:val="0"/>
                <w:color w:val="2D3748"/>
                <w:sz w:val="19"/>
              </w:rPr>
              <w:t xml:space="preserve"> v8.23.0)</w:t>
            </w:r>
          </w:p>
        </w:tc>
        <w:tc>
          <w:tcPr>
            <w:tcW w:type="dxa" w:w="3010"/>
            <w:tcMar>
              <w:top w:w="100" w:type="dxa"/>
              <w:bottom w:w="100" w:type="dxa"/>
              <w:left w:w="130" w:type="dxa"/>
              <w:right w:w="130" w:type="dxa"/>
            </w:tcMar>
            <w:vAlign w:val="center"/>
            <w:shd w:fill="FFFFFF"/>
          </w:tcPr>
          <w:p>
            <w:pPr>
              <w:spacing w:before="40" w:after="40" w:line="276" w:lineRule="auto"/>
              <w:jc w:val="left"/>
            </w:pPr>
            <w:r>
              <w:rPr>
                <w:rFonts w:ascii="Calibri" w:hAnsi="Calibri"/>
                <w:b w:val="0"/>
                <w:i w:val="0"/>
                <w:color w:val="2D3748"/>
                <w:sz w:val="19"/>
              </w:rPr>
              <w:t>Relational persistence with foreign keys</w:t>
            </w:r>
          </w:p>
        </w:tc>
      </w:tr>
      <w:tr>
        <w:tc>
          <w:tcPr>
            <w:tcW w:type="dxa" w:w="3010"/>
            <w:tcMar>
              <w:top w:w="100" w:type="dxa"/>
              <w:bottom w:w="100" w:type="dxa"/>
              <w:left w:w="130" w:type="dxa"/>
              <w:right w:w="130" w:type="dxa"/>
            </w:tcMar>
            <w:vAlign w:val="center"/>
            <w:shd w:fill="F7FAFC"/>
          </w:tcPr>
          <w:p>
            <w:pPr>
              <w:spacing w:before="40" w:after="40" w:line="276" w:lineRule="auto"/>
              <w:jc w:val="left"/>
            </w:pPr>
            <w:r>
              <w:rPr>
                <w:rFonts w:ascii="Calibri" w:hAnsi="Calibri"/>
                <w:b/>
                <w:i w:val="0"/>
                <w:color w:val="2D3748"/>
                <w:sz w:val="19"/>
              </w:rPr>
              <w:t>Dev Database Fallback</w:t>
            </w:r>
          </w:p>
        </w:tc>
        <w:tc>
          <w:tcPr>
            <w:tcW w:type="dxa" w:w="3010"/>
            <w:tcMar>
              <w:top w:w="100" w:type="dxa"/>
              <w:bottom w:w="100" w:type="dxa"/>
              <w:left w:w="130" w:type="dxa"/>
              <w:right w:w="130" w:type="dxa"/>
            </w:tcMar>
            <w:vAlign w:val="center"/>
            <w:shd w:fill="F7FAFC"/>
          </w:tcPr>
          <w:p>
            <w:pPr>
              <w:spacing w:before="40" w:after="40" w:line="276" w:lineRule="auto"/>
              <w:jc w:val="left"/>
            </w:pPr>
            <w:r>
              <w:rPr>
                <w:rFonts w:ascii="Calibri" w:hAnsi="Calibri"/>
                <w:b w:val="0"/>
                <w:i w:val="0"/>
                <w:color w:val="2D3748"/>
                <w:sz w:val="19"/>
              </w:rPr>
              <w:t>In-Memory / JSON File (</w:t>
            </w:r>
            <w:r>
              <w:rPr>
                <w:rFonts w:ascii="Consolas" w:hAnsi="Consolas"/>
                <w:b w:val="0"/>
                <w:i w:val="0"/>
                <w:color w:val="2C5282"/>
                <w:sz w:val="17"/>
              </w:rPr>
              <w:t>.data/dass_db.json</w:t>
            </w:r>
            <w:r>
              <w:rPr>
                <w:rFonts w:ascii="Calibri" w:hAnsi="Calibri"/>
                <w:b w:val="0"/>
                <w:i w:val="0"/>
                <w:color w:val="2D3748"/>
                <w:sz w:val="19"/>
              </w:rPr>
              <w:t>)</w:t>
            </w:r>
          </w:p>
        </w:tc>
        <w:tc>
          <w:tcPr>
            <w:tcW w:type="dxa" w:w="3010"/>
            <w:tcMar>
              <w:top w:w="100" w:type="dxa"/>
              <w:bottom w:w="100" w:type="dxa"/>
              <w:left w:w="130" w:type="dxa"/>
              <w:right w:w="130" w:type="dxa"/>
            </w:tcMar>
            <w:vAlign w:val="center"/>
            <w:shd w:fill="F7FAFC"/>
          </w:tcPr>
          <w:p>
            <w:pPr>
              <w:spacing w:before="40" w:after="40" w:line="276" w:lineRule="auto"/>
              <w:jc w:val="left"/>
            </w:pPr>
            <w:r>
              <w:rPr>
                <w:rFonts w:ascii="Calibri" w:hAnsi="Calibri"/>
                <w:b w:val="0"/>
                <w:i w:val="0"/>
                <w:color w:val="2D3748"/>
                <w:sz w:val="19"/>
              </w:rPr>
              <w:t>Zero-dependency local development &amp; testing</w:t>
            </w:r>
          </w:p>
        </w:tc>
      </w:tr>
      <w:tr>
        <w:tc>
          <w:tcPr>
            <w:tcW w:type="dxa" w:w="3010"/>
            <w:tcMar>
              <w:top w:w="100" w:type="dxa"/>
              <w:bottom w:w="100" w:type="dxa"/>
              <w:left w:w="130" w:type="dxa"/>
              <w:right w:w="130" w:type="dxa"/>
            </w:tcMar>
            <w:vAlign w:val="center"/>
            <w:shd w:fill="FFFFFF"/>
          </w:tcPr>
          <w:p>
            <w:pPr>
              <w:spacing w:before="40" w:after="40" w:line="276" w:lineRule="auto"/>
              <w:jc w:val="left"/>
            </w:pPr>
            <w:r>
              <w:rPr>
                <w:rFonts w:ascii="Calibri" w:hAnsi="Calibri"/>
                <w:b/>
                <w:i w:val="0"/>
                <w:color w:val="2D3748"/>
                <w:sz w:val="19"/>
              </w:rPr>
              <w:t>Frontend Framework</w:t>
            </w:r>
          </w:p>
        </w:tc>
        <w:tc>
          <w:tcPr>
            <w:tcW w:type="dxa" w:w="3010"/>
            <w:tcMar>
              <w:top w:w="100" w:type="dxa"/>
              <w:bottom w:w="100" w:type="dxa"/>
              <w:left w:w="130" w:type="dxa"/>
              <w:right w:w="130" w:type="dxa"/>
            </w:tcMar>
            <w:vAlign w:val="center"/>
            <w:shd w:fill="FFFFFF"/>
          </w:tcPr>
          <w:p>
            <w:pPr>
              <w:spacing w:before="40" w:after="40" w:line="276" w:lineRule="auto"/>
              <w:jc w:val="left"/>
            </w:pPr>
            <w:r>
              <w:rPr>
                <w:rFonts w:ascii="Calibri" w:hAnsi="Calibri"/>
                <w:b w:val="0"/>
                <w:i w:val="0"/>
                <w:color w:val="2D3748"/>
                <w:sz w:val="19"/>
              </w:rPr>
              <w:t>React v19.2.8 (with React DOM v19.2.8)</w:t>
            </w:r>
          </w:p>
        </w:tc>
        <w:tc>
          <w:tcPr>
            <w:tcW w:type="dxa" w:w="3010"/>
            <w:tcMar>
              <w:top w:w="100" w:type="dxa"/>
              <w:bottom w:w="100" w:type="dxa"/>
              <w:left w:w="130" w:type="dxa"/>
              <w:right w:w="130" w:type="dxa"/>
            </w:tcMar>
            <w:vAlign w:val="center"/>
            <w:shd w:fill="FFFFFF"/>
          </w:tcPr>
          <w:p>
            <w:pPr>
              <w:spacing w:before="40" w:after="40" w:line="276" w:lineRule="auto"/>
              <w:jc w:val="left"/>
            </w:pPr>
            <w:r>
              <w:rPr>
                <w:rFonts w:ascii="Calibri" w:hAnsi="Calibri"/>
                <w:b w:val="0"/>
                <w:i w:val="0"/>
                <w:color w:val="2D3748"/>
                <w:sz w:val="19"/>
              </w:rPr>
              <w:t>Component-driven reactive user interface</w:t>
            </w:r>
          </w:p>
        </w:tc>
      </w:tr>
      <w:tr>
        <w:tc>
          <w:tcPr>
            <w:tcW w:type="dxa" w:w="3010"/>
            <w:tcMar>
              <w:top w:w="100" w:type="dxa"/>
              <w:bottom w:w="100" w:type="dxa"/>
              <w:left w:w="130" w:type="dxa"/>
              <w:right w:w="130" w:type="dxa"/>
            </w:tcMar>
            <w:vAlign w:val="center"/>
            <w:shd w:fill="F7FAFC"/>
          </w:tcPr>
          <w:p>
            <w:pPr>
              <w:spacing w:before="40" w:after="40" w:line="276" w:lineRule="auto"/>
              <w:jc w:val="left"/>
            </w:pPr>
            <w:r>
              <w:rPr>
                <w:rFonts w:ascii="Calibri" w:hAnsi="Calibri"/>
                <w:b/>
                <w:i w:val="0"/>
                <w:color w:val="2D3748"/>
                <w:sz w:val="19"/>
              </w:rPr>
              <w:t>Frontend Tooling</w:t>
            </w:r>
          </w:p>
        </w:tc>
        <w:tc>
          <w:tcPr>
            <w:tcW w:type="dxa" w:w="3010"/>
            <w:tcMar>
              <w:top w:w="100" w:type="dxa"/>
              <w:bottom w:w="100" w:type="dxa"/>
              <w:left w:w="130" w:type="dxa"/>
              <w:right w:w="130" w:type="dxa"/>
            </w:tcMar>
            <w:vAlign w:val="center"/>
            <w:shd w:fill="F7FAFC"/>
          </w:tcPr>
          <w:p>
            <w:pPr>
              <w:spacing w:before="40" w:after="40" w:line="276" w:lineRule="auto"/>
              <w:jc w:val="left"/>
            </w:pPr>
            <w:r>
              <w:rPr>
                <w:rFonts w:ascii="Calibri" w:hAnsi="Calibri"/>
                <w:b w:val="0"/>
                <w:i w:val="0"/>
                <w:color w:val="2D3748"/>
                <w:sz w:val="19"/>
              </w:rPr>
              <w:t>Vite v8.3.0</w:t>
            </w:r>
          </w:p>
        </w:tc>
        <w:tc>
          <w:tcPr>
            <w:tcW w:type="dxa" w:w="3010"/>
            <w:tcMar>
              <w:top w:w="100" w:type="dxa"/>
              <w:bottom w:w="100" w:type="dxa"/>
              <w:left w:w="130" w:type="dxa"/>
              <w:right w:w="130" w:type="dxa"/>
            </w:tcMar>
            <w:vAlign w:val="center"/>
            <w:shd w:fill="F7FAFC"/>
          </w:tcPr>
          <w:p>
            <w:pPr>
              <w:spacing w:before="40" w:after="40" w:line="276" w:lineRule="auto"/>
              <w:jc w:val="left"/>
            </w:pPr>
            <w:r>
              <w:rPr>
                <w:rFonts w:ascii="Calibri" w:hAnsi="Calibri"/>
                <w:b w:val="0"/>
                <w:i w:val="0"/>
                <w:color w:val="2D3748"/>
                <w:sz w:val="19"/>
              </w:rPr>
              <w:t>Modern ESM bundler and HMR dev server</w:t>
            </w:r>
          </w:p>
        </w:tc>
      </w:tr>
      <w:tr>
        <w:tc>
          <w:tcPr>
            <w:tcW w:type="dxa" w:w="3010"/>
            <w:tcMar>
              <w:top w:w="100" w:type="dxa"/>
              <w:bottom w:w="100" w:type="dxa"/>
              <w:left w:w="130" w:type="dxa"/>
              <w:right w:w="130" w:type="dxa"/>
            </w:tcMar>
            <w:vAlign w:val="center"/>
            <w:shd w:fill="FFFFFF"/>
          </w:tcPr>
          <w:p>
            <w:pPr>
              <w:spacing w:before="40" w:after="40" w:line="276" w:lineRule="auto"/>
              <w:jc w:val="left"/>
            </w:pPr>
            <w:r>
              <w:rPr>
                <w:rFonts w:ascii="Calibri" w:hAnsi="Calibri"/>
                <w:b/>
                <w:i w:val="0"/>
                <w:color w:val="2D3748"/>
                <w:sz w:val="19"/>
              </w:rPr>
              <w:t>Client Router</w:t>
            </w:r>
          </w:p>
        </w:tc>
        <w:tc>
          <w:tcPr>
            <w:tcW w:type="dxa" w:w="3010"/>
            <w:tcMar>
              <w:top w:w="100" w:type="dxa"/>
              <w:bottom w:w="100" w:type="dxa"/>
              <w:left w:w="130" w:type="dxa"/>
              <w:right w:w="130" w:type="dxa"/>
            </w:tcMar>
            <w:vAlign w:val="center"/>
            <w:shd w:fill="FFFFFF"/>
          </w:tcPr>
          <w:p>
            <w:pPr>
              <w:spacing w:before="40" w:after="40" w:line="276" w:lineRule="auto"/>
              <w:jc w:val="left"/>
            </w:pPr>
            <w:r>
              <w:rPr>
                <w:rFonts w:ascii="Calibri" w:hAnsi="Calibri"/>
                <w:b w:val="0"/>
                <w:i w:val="0"/>
                <w:color w:val="2D3748"/>
                <w:sz w:val="19"/>
              </w:rPr>
              <w:t>React Router DOM v7.18.4</w:t>
            </w:r>
          </w:p>
        </w:tc>
        <w:tc>
          <w:tcPr>
            <w:tcW w:type="dxa" w:w="3010"/>
            <w:tcMar>
              <w:top w:w="100" w:type="dxa"/>
              <w:bottom w:w="100" w:type="dxa"/>
              <w:left w:w="130" w:type="dxa"/>
              <w:right w:w="130" w:type="dxa"/>
            </w:tcMar>
            <w:vAlign w:val="center"/>
            <w:shd w:fill="FFFFFF"/>
          </w:tcPr>
          <w:p>
            <w:pPr>
              <w:spacing w:before="40" w:after="40" w:line="276" w:lineRule="auto"/>
              <w:jc w:val="left"/>
            </w:pPr>
            <w:r>
              <w:rPr>
                <w:rFonts w:ascii="Calibri" w:hAnsi="Calibri"/>
                <w:b w:val="0"/>
                <w:i w:val="0"/>
                <w:color w:val="2D3748"/>
                <w:sz w:val="19"/>
              </w:rPr>
              <w:t>Client-side route management</w:t>
            </w:r>
          </w:p>
        </w:tc>
      </w:tr>
      <w:tr>
        <w:tc>
          <w:tcPr>
            <w:tcW w:type="dxa" w:w="3010"/>
            <w:tcMar>
              <w:top w:w="100" w:type="dxa"/>
              <w:bottom w:w="100" w:type="dxa"/>
              <w:left w:w="130" w:type="dxa"/>
              <w:right w:w="130" w:type="dxa"/>
            </w:tcMar>
            <w:vAlign w:val="center"/>
            <w:shd w:fill="F7FAFC"/>
          </w:tcPr>
          <w:p>
            <w:pPr>
              <w:spacing w:before="40" w:after="40" w:line="276" w:lineRule="auto"/>
              <w:jc w:val="left"/>
            </w:pPr>
            <w:r>
              <w:rPr>
                <w:rFonts w:ascii="Calibri" w:hAnsi="Calibri"/>
                <w:b/>
                <w:i w:val="0"/>
                <w:color w:val="2D3748"/>
                <w:sz w:val="19"/>
              </w:rPr>
              <w:t>Styling Architecture</w:t>
            </w:r>
          </w:p>
        </w:tc>
        <w:tc>
          <w:tcPr>
            <w:tcW w:type="dxa" w:w="3010"/>
            <w:tcMar>
              <w:top w:w="100" w:type="dxa"/>
              <w:bottom w:w="100" w:type="dxa"/>
              <w:left w:w="130" w:type="dxa"/>
              <w:right w:w="130" w:type="dxa"/>
            </w:tcMar>
            <w:vAlign w:val="center"/>
            <w:shd w:fill="F7FAFC"/>
          </w:tcPr>
          <w:p>
            <w:pPr>
              <w:spacing w:before="40" w:after="40" w:line="276" w:lineRule="auto"/>
              <w:jc w:val="left"/>
            </w:pPr>
            <w:r>
              <w:rPr>
                <w:rFonts w:ascii="Calibri" w:hAnsi="Calibri"/>
                <w:b w:val="0"/>
                <w:i w:val="0"/>
                <w:color w:val="2D3748"/>
                <w:sz w:val="19"/>
              </w:rPr>
              <w:t>Vanilla CSS Design System (</w:t>
            </w:r>
            <w:r>
              <w:rPr>
                <w:rFonts w:ascii="Consolas" w:hAnsi="Consolas"/>
                <w:b w:val="0"/>
                <w:i w:val="0"/>
                <w:color w:val="2C5282"/>
                <w:sz w:val="17"/>
              </w:rPr>
              <w:t>index.css</w:t>
            </w:r>
            <w:r>
              <w:rPr>
                <w:rFonts w:ascii="Calibri" w:hAnsi="Calibri"/>
                <w:b w:val="0"/>
                <w:i w:val="0"/>
                <w:color w:val="2D3748"/>
                <w:sz w:val="19"/>
              </w:rPr>
              <w:t>)</w:t>
            </w:r>
          </w:p>
        </w:tc>
        <w:tc>
          <w:tcPr>
            <w:tcW w:type="dxa" w:w="3010"/>
            <w:tcMar>
              <w:top w:w="100" w:type="dxa"/>
              <w:bottom w:w="100" w:type="dxa"/>
              <w:left w:w="130" w:type="dxa"/>
              <w:right w:w="130" w:type="dxa"/>
            </w:tcMar>
            <w:vAlign w:val="center"/>
            <w:shd w:fill="F7FAFC"/>
          </w:tcPr>
          <w:p>
            <w:pPr>
              <w:spacing w:before="40" w:after="40" w:line="276" w:lineRule="auto"/>
              <w:jc w:val="left"/>
            </w:pPr>
            <w:r>
              <w:rPr>
                <w:rFonts w:ascii="Calibri" w:hAnsi="Calibri"/>
                <w:b w:val="0"/>
                <w:i w:val="0"/>
                <w:color w:val="2D3748"/>
                <w:sz w:val="19"/>
              </w:rPr>
              <w:t>Custom CSS properties for high-contrast themes</w:t>
            </w:r>
          </w:p>
        </w:tc>
      </w:tr>
      <w:tr>
        <w:tc>
          <w:tcPr>
            <w:tcW w:type="dxa" w:w="3010"/>
            <w:tcMar>
              <w:top w:w="100" w:type="dxa"/>
              <w:bottom w:w="100" w:type="dxa"/>
              <w:left w:w="130" w:type="dxa"/>
              <w:right w:w="130" w:type="dxa"/>
            </w:tcMar>
            <w:vAlign w:val="center"/>
            <w:shd w:fill="FFFFFF"/>
          </w:tcPr>
          <w:p>
            <w:pPr>
              <w:spacing w:before="40" w:after="40" w:line="276" w:lineRule="auto"/>
              <w:jc w:val="left"/>
            </w:pPr>
            <w:r>
              <w:rPr>
                <w:rFonts w:ascii="Calibri" w:hAnsi="Calibri"/>
                <w:b/>
                <w:i w:val="0"/>
                <w:color w:val="2D3748"/>
                <w:sz w:val="19"/>
              </w:rPr>
              <w:t>Icons &amp; Typography</w:t>
            </w:r>
          </w:p>
        </w:tc>
        <w:tc>
          <w:tcPr>
            <w:tcW w:type="dxa" w:w="3010"/>
            <w:tcMar>
              <w:top w:w="100" w:type="dxa"/>
              <w:bottom w:w="100" w:type="dxa"/>
              <w:left w:w="130" w:type="dxa"/>
              <w:right w:w="130" w:type="dxa"/>
            </w:tcMar>
            <w:vAlign w:val="center"/>
            <w:shd w:fill="FFFFFF"/>
          </w:tcPr>
          <w:p>
            <w:pPr>
              <w:spacing w:before="40" w:after="40" w:line="276" w:lineRule="auto"/>
              <w:jc w:val="left"/>
            </w:pPr>
            <w:r>
              <w:rPr>
                <w:rFonts w:ascii="Calibri" w:hAnsi="Calibri"/>
                <w:b w:val="0"/>
                <w:i w:val="0"/>
                <w:color w:val="2D3748"/>
                <w:sz w:val="19"/>
              </w:rPr>
              <w:t>Lucide React v1.47.0 / IBM Plex / Newsreader</w:t>
            </w:r>
          </w:p>
        </w:tc>
        <w:tc>
          <w:tcPr>
            <w:tcW w:type="dxa" w:w="3010"/>
            <w:tcMar>
              <w:top w:w="100" w:type="dxa"/>
              <w:bottom w:w="100" w:type="dxa"/>
              <w:left w:w="130" w:type="dxa"/>
              <w:right w:w="130" w:type="dxa"/>
            </w:tcMar>
            <w:vAlign w:val="center"/>
            <w:shd w:fill="FFFFFF"/>
          </w:tcPr>
          <w:p>
            <w:pPr>
              <w:spacing w:before="40" w:after="40" w:line="276" w:lineRule="auto"/>
              <w:jc w:val="left"/>
            </w:pPr>
            <w:r>
              <w:rPr>
                <w:rFonts w:ascii="Calibri" w:hAnsi="Calibri"/>
                <w:b w:val="0"/>
                <w:i w:val="0"/>
                <w:color w:val="2D3748"/>
                <w:sz w:val="19"/>
              </w:rPr>
              <w:t>Visual indicators and editorial typography</w:t>
            </w:r>
          </w:p>
        </w:tc>
      </w:tr>
      <w:tr>
        <w:tc>
          <w:tcPr>
            <w:tcW w:type="dxa" w:w="3010"/>
            <w:tcMar>
              <w:top w:w="100" w:type="dxa"/>
              <w:bottom w:w="100" w:type="dxa"/>
              <w:left w:w="130" w:type="dxa"/>
              <w:right w:w="130" w:type="dxa"/>
            </w:tcMar>
            <w:vAlign w:val="center"/>
            <w:shd w:fill="F7FAFC"/>
          </w:tcPr>
          <w:p>
            <w:pPr>
              <w:spacing w:before="40" w:after="40" w:line="276" w:lineRule="auto"/>
              <w:jc w:val="left"/>
            </w:pPr>
            <w:r>
              <w:rPr>
                <w:rFonts w:ascii="Calibri" w:hAnsi="Calibri"/>
                <w:b/>
                <w:i w:val="0"/>
                <w:color w:val="2D3748"/>
                <w:sz w:val="19"/>
              </w:rPr>
              <w:t>Geographic Mapping</w:t>
            </w:r>
          </w:p>
        </w:tc>
        <w:tc>
          <w:tcPr>
            <w:tcW w:type="dxa" w:w="3010"/>
            <w:tcMar>
              <w:top w:w="100" w:type="dxa"/>
              <w:bottom w:w="100" w:type="dxa"/>
              <w:left w:w="130" w:type="dxa"/>
              <w:right w:w="130" w:type="dxa"/>
            </w:tcMar>
            <w:vAlign w:val="center"/>
            <w:shd w:fill="F7FAFC"/>
          </w:tcPr>
          <w:p>
            <w:pPr>
              <w:spacing w:before="40" w:after="40" w:line="276" w:lineRule="auto"/>
              <w:jc w:val="left"/>
            </w:pPr>
            <w:r>
              <w:rPr>
                <w:rFonts w:ascii="Calibri" w:hAnsi="Calibri"/>
                <w:b w:val="0"/>
                <w:i w:val="0"/>
                <w:color w:val="2D3748"/>
                <w:sz w:val="19"/>
              </w:rPr>
              <w:t>Leaflet v1.9.4 &amp; React Leaflet types</w:t>
            </w:r>
          </w:p>
        </w:tc>
        <w:tc>
          <w:tcPr>
            <w:tcW w:type="dxa" w:w="3010"/>
            <w:tcMar>
              <w:top w:w="100" w:type="dxa"/>
              <w:bottom w:w="100" w:type="dxa"/>
              <w:left w:w="130" w:type="dxa"/>
              <w:right w:w="130" w:type="dxa"/>
            </w:tcMar>
            <w:vAlign w:val="center"/>
            <w:shd w:fill="F7FAFC"/>
          </w:tcPr>
          <w:p>
            <w:pPr>
              <w:spacing w:before="40" w:after="40" w:line="276" w:lineRule="auto"/>
              <w:jc w:val="left"/>
            </w:pPr>
            <w:r>
              <w:rPr>
                <w:rFonts w:ascii="Calibri" w:hAnsi="Calibri"/>
                <w:b w:val="0"/>
                <w:i w:val="0"/>
                <w:color w:val="2D3748"/>
                <w:sz w:val="19"/>
              </w:rPr>
              <w:t>Interactive OpenStreetMap coordinate plotting</w:t>
            </w:r>
          </w:p>
        </w:tc>
      </w:tr>
      <w:tr>
        <w:tc>
          <w:tcPr>
            <w:tcW w:type="dxa" w:w="3010"/>
            <w:tcMar>
              <w:top w:w="100" w:type="dxa"/>
              <w:bottom w:w="100" w:type="dxa"/>
              <w:left w:w="130" w:type="dxa"/>
              <w:right w:w="130" w:type="dxa"/>
            </w:tcMar>
            <w:vAlign w:val="center"/>
            <w:shd w:fill="FFFFFF"/>
          </w:tcPr>
          <w:p>
            <w:pPr>
              <w:spacing w:before="40" w:after="40" w:line="276" w:lineRule="auto"/>
              <w:jc w:val="left"/>
            </w:pPr>
            <w:r>
              <w:rPr>
                <w:rFonts w:ascii="Calibri" w:hAnsi="Calibri"/>
                <w:b/>
                <w:i w:val="0"/>
                <w:color w:val="2D3748"/>
                <w:sz w:val="19"/>
              </w:rPr>
              <w:t>Testing Framework</w:t>
            </w:r>
          </w:p>
        </w:tc>
        <w:tc>
          <w:tcPr>
            <w:tcW w:type="dxa" w:w="3010"/>
            <w:tcMar>
              <w:top w:w="100" w:type="dxa"/>
              <w:bottom w:w="100" w:type="dxa"/>
              <w:left w:w="130" w:type="dxa"/>
              <w:right w:w="130" w:type="dxa"/>
            </w:tcMar>
            <w:vAlign w:val="center"/>
            <w:shd w:fill="FFFFFF"/>
          </w:tcPr>
          <w:p>
            <w:pPr>
              <w:spacing w:before="40" w:after="40" w:line="276" w:lineRule="auto"/>
              <w:jc w:val="left"/>
            </w:pPr>
            <w:r>
              <w:rPr>
                <w:rFonts w:ascii="Calibri" w:hAnsi="Calibri"/>
                <w:b w:val="0"/>
                <w:i w:val="0"/>
                <w:color w:val="2D3748"/>
                <w:sz w:val="19"/>
              </w:rPr>
              <w:t>Jest v29.7.0 (Server) &amp; Vitest v5.0.1 (Client)</w:t>
            </w:r>
          </w:p>
        </w:tc>
        <w:tc>
          <w:tcPr>
            <w:tcW w:type="dxa" w:w="3010"/>
            <w:tcMar>
              <w:top w:w="100" w:type="dxa"/>
              <w:bottom w:w="100" w:type="dxa"/>
              <w:left w:w="130" w:type="dxa"/>
              <w:right w:w="130" w:type="dxa"/>
            </w:tcMar>
            <w:vAlign w:val="center"/>
            <w:shd w:fill="FFFFFF"/>
          </w:tcPr>
          <w:p>
            <w:pPr>
              <w:spacing w:before="40" w:after="40" w:line="276" w:lineRule="auto"/>
              <w:jc w:val="left"/>
            </w:pPr>
            <w:r>
              <w:rPr>
                <w:rFonts w:ascii="Calibri" w:hAnsi="Calibri"/>
                <w:b w:val="0"/>
                <w:i w:val="0"/>
                <w:color w:val="2D3748"/>
                <w:sz w:val="19"/>
              </w:rPr>
              <w:t>Automated unit, security, and E2E testing</w:t>
            </w:r>
          </w:p>
        </w:tc>
      </w:tr>
      <w:tr>
        <w:tc>
          <w:tcPr>
            <w:tcW w:type="dxa" w:w="3010"/>
            <w:tcMar>
              <w:top w:w="100" w:type="dxa"/>
              <w:bottom w:w="100" w:type="dxa"/>
              <w:left w:w="130" w:type="dxa"/>
              <w:right w:w="130" w:type="dxa"/>
            </w:tcMar>
            <w:vAlign w:val="center"/>
            <w:shd w:fill="F7FAFC"/>
          </w:tcPr>
          <w:p>
            <w:pPr>
              <w:spacing w:before="40" w:after="40" w:line="276" w:lineRule="auto"/>
              <w:jc w:val="left"/>
            </w:pPr>
            <w:r>
              <w:rPr>
                <w:rFonts w:ascii="Calibri" w:hAnsi="Calibri"/>
                <w:b/>
                <w:i w:val="0"/>
                <w:color w:val="2D3748"/>
                <w:sz w:val="19"/>
              </w:rPr>
              <w:t>Linting Tools</w:t>
            </w:r>
          </w:p>
        </w:tc>
        <w:tc>
          <w:tcPr>
            <w:tcW w:type="dxa" w:w="3010"/>
            <w:tcMar>
              <w:top w:w="100" w:type="dxa"/>
              <w:bottom w:w="100" w:type="dxa"/>
              <w:left w:w="130" w:type="dxa"/>
              <w:right w:w="130" w:type="dxa"/>
            </w:tcMar>
            <w:vAlign w:val="center"/>
            <w:shd w:fill="F7FAFC"/>
          </w:tcPr>
          <w:p>
            <w:pPr>
              <w:spacing w:before="40" w:after="40" w:line="276" w:lineRule="auto"/>
              <w:jc w:val="left"/>
            </w:pPr>
            <w:r>
              <w:rPr>
                <w:rFonts w:ascii="Calibri" w:hAnsi="Calibri"/>
                <w:b w:val="0"/>
                <w:i w:val="0"/>
                <w:color w:val="2D3748"/>
                <w:sz w:val="19"/>
              </w:rPr>
              <w:t>ESLint v8.57.0 (Server) &amp; Oxlint v1.81.0 (Client)</w:t>
            </w:r>
          </w:p>
        </w:tc>
        <w:tc>
          <w:tcPr>
            <w:tcW w:type="dxa" w:w="3010"/>
            <w:tcMar>
              <w:top w:w="100" w:type="dxa"/>
              <w:bottom w:w="100" w:type="dxa"/>
              <w:left w:w="130" w:type="dxa"/>
              <w:right w:w="130" w:type="dxa"/>
            </w:tcMar>
            <w:vAlign w:val="center"/>
            <w:shd w:fill="F7FAFC"/>
          </w:tcPr>
          <w:p>
            <w:pPr>
              <w:spacing w:before="40" w:after="40" w:line="276" w:lineRule="auto"/>
              <w:jc w:val="left"/>
            </w:pPr>
            <w:r>
              <w:rPr>
                <w:rFonts w:ascii="Calibri" w:hAnsi="Calibri"/>
                <w:b w:val="0"/>
                <w:i w:val="0"/>
                <w:color w:val="2D3748"/>
                <w:sz w:val="19"/>
              </w:rPr>
              <w:t>Static code analysis and syntax verification</w:t>
            </w:r>
          </w:p>
        </w:tc>
      </w:tr>
    </w:tbl>
    <w:p>
      <w:pPr>
        <w:spacing w:after="80"/>
      </w:pPr>
    </w:p>
    <w:p>
      <w:pPr>
        <w:keepNext/>
        <w:spacing w:before="200" w:after="60" w:line="300" w:lineRule="auto"/>
        <w:jc w:val="left"/>
      </w:pPr>
      <w:r>
        <w:rPr>
          <w:rFonts w:ascii="Calibri" w:hAnsi="Calibri"/>
          <w:b/>
          <w:i w:val="0"/>
          <w:color w:val="2C5282"/>
          <w:sz w:val="25"/>
        </w:rPr>
        <w:t>8.2 Hardware Requirements</w:t>
      </w:r>
    </w:p>
    <w:p>
      <w:pPr>
        <w:spacing w:before="40" w:after="120" w:line="300" w:lineRule="auto"/>
        <w:jc w:val="both"/>
      </w:pPr>
      <w:r>
        <w:rPr>
          <w:rFonts w:ascii="Calibri" w:hAnsi="Calibri"/>
          <w:b w:val="0"/>
          <w:i w:val="0"/>
          <w:color w:val="2D3748"/>
          <w:sz w:val="22"/>
        </w:rPr>
        <w:t>Because DASS offloads heavy intelligence processing to external distributed providers (e.g., crt.sh, DNS resolvers, Shodan), its local system requirements are minimal:</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Processor:</w:t>
      </w:r>
      <w:r>
        <w:rPr>
          <w:rFonts w:ascii="Calibri" w:hAnsi="Calibri"/>
          <w:b w:val="0"/>
          <w:i w:val="0"/>
          <w:color w:val="2D3748"/>
          <w:sz w:val="21"/>
        </w:rPr>
        <w:t xml:space="preserve"> Dual-core 64-bit x86_64 or ARM processor (2.0 GHz or faster).</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System Memory (RAM):</w:t>
      </w:r>
      <w:r>
        <w:rPr>
          <w:rFonts w:ascii="Calibri" w:hAnsi="Calibri"/>
          <w:b w:val="0"/>
          <w:i w:val="0"/>
          <w:color w:val="2D3748"/>
          <w:sz w:val="21"/>
        </w:rPr>
        <w:t xml:space="preserve"> 2 GB minimum (4 GB recommended for concurrent test execution and Vite bundling).</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Storage:</w:t>
      </w:r>
      <w:r>
        <w:rPr>
          <w:rFonts w:ascii="Calibri" w:hAnsi="Calibri"/>
          <w:b w:val="0"/>
          <w:i w:val="0"/>
          <w:color w:val="2D3748"/>
          <w:sz w:val="21"/>
        </w:rPr>
        <w:t xml:space="preserve"> 500 MB free disk space for node_modules, build outputs, and local database cache.</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Network Interface:</w:t>
      </w:r>
      <w:r>
        <w:rPr>
          <w:rFonts w:ascii="Calibri" w:hAnsi="Calibri"/>
          <w:b w:val="0"/>
          <w:i w:val="0"/>
          <w:color w:val="2D3748"/>
          <w:sz w:val="21"/>
        </w:rPr>
        <w:t xml:space="preserve"> Active broadband internet connection with outbound access to ports 53 (DNS), 80 (HTTP), and 443 (HTTPS).</w:t>
      </w:r>
    </w:p>
    <w:p>
      <w:pPr>
        <w:spacing w:before="120" w:after="120" w:line="300" w:lineRule="auto"/>
        <w:jc w:val="center"/>
      </w:pPr>
      <w:r>
        <w:rPr>
          <w:color w:val="E2E8F0"/>
          <w:sz w:val="20"/>
        </w:rPr>
        <w:t>―――――――――――――――――――――――――――――――――――――――――――――――――――――――</w:t>
      </w:r>
    </w:p>
    <w:p>
      <w:pPr>
        <w:keepNext/>
        <w:spacing w:before="280" w:after="80" w:line="300" w:lineRule="auto"/>
        <w:jc w:val="left"/>
      </w:pPr>
      <w:r>
        <w:rPr>
          <w:rFonts w:ascii="Calibri" w:hAnsi="Calibri"/>
          <w:b/>
          <w:i w:val="0"/>
          <w:color w:val="2B6CB0"/>
          <w:sz w:val="30"/>
        </w:rPr>
        <w:t>9. SYSTEM ARCHITECTURE</w:t>
      </w:r>
    </w:p>
    <w:p>
      <w:pPr>
        <w:keepNext/>
        <w:spacing w:before="200" w:after="60" w:line="300" w:lineRule="auto"/>
        <w:jc w:val="left"/>
      </w:pPr>
      <w:r>
        <w:rPr>
          <w:rFonts w:ascii="Calibri" w:hAnsi="Calibri"/>
          <w:b/>
          <w:i w:val="0"/>
          <w:color w:val="2C5282"/>
          <w:sz w:val="25"/>
        </w:rPr>
        <w:t>9.1 High-Level Component Decomposition</w:t>
      </w:r>
    </w:p>
    <w:p>
      <w:pPr>
        <w:spacing w:before="40" w:after="120" w:line="300" w:lineRule="auto"/>
        <w:jc w:val="both"/>
      </w:pPr>
      <w:r>
        <w:rPr>
          <w:rFonts w:ascii="Calibri" w:hAnsi="Calibri"/>
          <w:b w:val="0"/>
          <w:i w:val="0"/>
          <w:color w:val="2D3748"/>
          <w:sz w:val="22"/>
        </w:rPr>
        <w:t>The application is organized as an npm monorepo comprising three distinct workspace tiers:</w:t>
      </w:r>
    </w:p>
    <w:p>
      <w:pPr>
        <w:spacing w:before="20" w:after="60" w:line="276" w:lineRule="auto"/>
        <w:ind w:left="360"/>
        <w:jc w:val="left"/>
      </w:pPr>
      <w:r>
        <w:rPr>
          <w:rFonts w:ascii="Calibri" w:hAnsi="Calibri"/>
          <w:b/>
          <w:i w:val="0"/>
          <w:color w:val="2B6CB0"/>
          <w:sz w:val="21"/>
        </w:rPr>
        <w:t xml:space="preserve">1.  </w:t>
      </w:r>
      <w:r>
        <w:rPr>
          <w:rFonts w:ascii="Consolas" w:hAnsi="Consolas"/>
          <w:b w:val="0"/>
          <w:i w:val="0"/>
          <w:color w:val="2C5282"/>
          <w:sz w:val="19"/>
        </w:rPr>
        <w:t>shared/</w:t>
      </w:r>
      <w:r>
        <w:rPr>
          <w:rFonts w:ascii="Calibri" w:hAnsi="Calibri"/>
          <w:b w:val="0"/>
          <w:i w:val="0"/>
          <w:color w:val="2D3748"/>
          <w:sz w:val="21"/>
        </w:rPr>
        <w:t>: Universal TypeScript contracts, enum definitions, and asset interfaces imported by both frontend and backend.</w:t>
      </w:r>
    </w:p>
    <w:p>
      <w:pPr>
        <w:spacing w:before="20" w:after="60" w:line="276" w:lineRule="auto"/>
        <w:ind w:left="360"/>
        <w:jc w:val="left"/>
      </w:pPr>
      <w:r>
        <w:rPr>
          <w:rFonts w:ascii="Calibri" w:hAnsi="Calibri"/>
          <w:b/>
          <w:i w:val="0"/>
          <w:color w:val="2B6CB0"/>
          <w:sz w:val="21"/>
        </w:rPr>
        <w:t xml:space="preserve">2.  </w:t>
      </w:r>
      <w:r>
        <w:rPr>
          <w:rFonts w:ascii="Consolas" w:hAnsi="Consolas"/>
          <w:b w:val="0"/>
          <w:i w:val="0"/>
          <w:color w:val="2C5282"/>
          <w:sz w:val="19"/>
        </w:rPr>
        <w:t>server/</w:t>
      </w:r>
      <w:r>
        <w:rPr>
          <w:rFonts w:ascii="Calibri" w:hAnsi="Calibri"/>
          <w:b w:val="0"/>
          <w:i w:val="0"/>
          <w:color w:val="2D3748"/>
          <w:sz w:val="21"/>
        </w:rPr>
        <w:t>: Express-based REST API containing security middleware, scan orchestrators, modular intelligence services, and database persistence layers.</w:t>
      </w:r>
    </w:p>
    <w:p>
      <w:pPr>
        <w:spacing w:before="20" w:after="60" w:line="276" w:lineRule="auto"/>
        <w:ind w:left="360"/>
        <w:jc w:val="left"/>
      </w:pPr>
      <w:r>
        <w:rPr>
          <w:rFonts w:ascii="Calibri" w:hAnsi="Calibri"/>
          <w:b/>
          <w:i w:val="0"/>
          <w:color w:val="2B6CB0"/>
          <w:sz w:val="21"/>
        </w:rPr>
        <w:t xml:space="preserve">3.  </w:t>
      </w:r>
      <w:r>
        <w:rPr>
          <w:rFonts w:ascii="Consolas" w:hAnsi="Consolas"/>
          <w:b w:val="0"/>
          <w:i w:val="0"/>
          <w:color w:val="2C5282"/>
          <w:sz w:val="19"/>
        </w:rPr>
        <w:t>client/</w:t>
      </w:r>
      <w:r>
        <w:rPr>
          <w:rFonts w:ascii="Calibri" w:hAnsi="Calibri"/>
          <w:b w:val="0"/>
          <w:i w:val="0"/>
          <w:color w:val="2D3748"/>
          <w:sz w:val="21"/>
        </w:rPr>
        <w:t>: React workstation providing interactive telemetry visualization, historical comparison, and report export engines.</w:t>
      </w:r>
    </w:p>
    <w:tbl>
      <w:tblPr>
        <w:tblW w:type="auto" w:w="0"/>
        <w:jc w:val="center"/>
        <w:tblLook w:firstColumn="1" w:firstRow="1" w:lastColumn="0" w:lastRow="0" w:noHBand="0" w:noVBand="1" w:val="04A0"/>
      </w:tblPr>
      <w:tblGrid>
        <w:gridCol w:w="9029"/>
      </w:tblGrid>
      <w:tr>
        <w:tc>
          <w:tcPr>
            <w:tcW w:type="dxa" w:w="9029"/>
            <w:tcMar>
              <w:top w:w="100" w:type="dxa"/>
              <w:bottom w:w="100" w:type="dxa"/>
              <w:left w:w="140" w:type="dxa"/>
              <w:right w:w="140" w:type="dxa"/>
            </w:tcMar>
            <w:shd w:fill="F1F5F9"/>
          </w:tcPr>
          <w:p>
            <w:pPr>
              <w:spacing w:before="40" w:after="40" w:line="252" w:lineRule="auto"/>
              <w:jc w:val="left"/>
            </w:pPr>
            <w:r>
              <w:rPr>
                <w:rFonts w:ascii="Consolas" w:hAnsi="Consolas"/>
                <w:b w:val="0"/>
                <w:i w:val="0"/>
                <w:color w:val="1A202C"/>
                <w:sz w:val="17"/>
              </w:rPr>
              <w:t>+---------------------------------------------------------------------------------------+</w:t>
              <w:br/>
              <w:t>|                                    SHARED WORKSPACE                                   |</w:t>
              <w:br/>
              <w:t>|   Types: DomainScan, Asset, Relationship, Finding, ScoreBreakdown, DimensionScore    |</w:t>
              <w:br/>
              <w:t>+---------------------------------------------------------------------------------------+</w:t>
              <w:br/>
              <w:t xml:space="preserve">                                  ^                                   ^</w:t>
              <w:br/>
              <w:t xml:space="preserve">                                  |                                   |</w:t>
              <w:br/>
              <w:t>+---------------------------------+--+     +--------------------------+-----------------+</w:t>
              <w:br/>
              <w:t>|          SERVER WORKSPACE          |     |           CLIENT WORKSPACE                  |</w:t>
              <w:br/>
              <w:t>|  - Middleware:                     |     |  - Contexts:                                |</w:t>
              <w:br/>
              <w:t>|    * AuthGuard (Session Cookie)    |     |    * AuthContext (Login/Registration State) |</w:t>
              <w:br/>
              <w:t>|    * QuotaLimiter (Sliding Window) |     |    * ThemeContext (Dark/Light Persistence)  |</w:t>
              <w:br/>
              <w:t>|    * SecurityHeaders (Helmet)      |     |  - Pages:                                   |</w:t>
              <w:br/>
              <w:t>|  - Services:                       |     |    * LandingPage (Domain Submission)        |</w:t>
              <w:br/>
              <w:t>|    * scanOrchestrator              |     |    * ScanPage (Live Intelligence View)      |</w:t>
              <w:br/>
              <w:t>|    * safeHttp &amp; publicResolution   |     |    * ReportPage (Print-Ready Dossier)       |</w:t>
              <w:br/>
              <w:t>|    * dns, whois, tls, subdomains   |     |    * HistoryPage &amp; ComparisonPage           |</w:t>
              <w:br/>
              <w:t>|    * ipIntelligence &amp; shodanIntel  |     |    * Security, Terms, Privacy, Billing      |</w:t>
              <w:br/>
              <w:t>|    * normalization &amp; findings      |     |  - Components:                              |</w:t>
              <w:br/>
              <w:t>|    * scoring (v1 Engine)           |     |    * ScanOverviewCard (Telemetry &amp; Score)   |</w:t>
              <w:br/>
              <w:t>|  - Database:                       |     |    * AttackSurfaceGraph (Interactive SVG)   |</w:t>
              <w:br/>
              <w:t>|    * Postgres (pg.Pool)            |     |    * InfrastructureMap (Leaflet/OSM)        |</w:t>
              <w:br/>
              <w:t>|    * Dev Atomic JSON Store         |     |    * FindingsSection &amp; FindingDetailPanel   |</w:t>
              <w:br/>
              <w:t>+------------------------------------+     +---------------------------------------------+</w:t>
            </w:r>
          </w:p>
        </w:tc>
      </w:tr>
    </w:tbl>
    <w:p>
      <w:pPr>
        <w:spacing w:after="80"/>
      </w:pPr>
    </w:p>
    <w:p>
      <w:pPr>
        <w:keepNext/>
        <w:spacing w:before="200" w:after="60" w:line="300" w:lineRule="auto"/>
        <w:jc w:val="left"/>
      </w:pPr>
      <w:r>
        <w:rPr>
          <w:rFonts w:ascii="Calibri" w:hAnsi="Calibri"/>
          <w:b/>
          <w:i w:val="0"/>
          <w:color w:val="2C5282"/>
          <w:sz w:val="25"/>
        </w:rPr>
        <w:t>9.2 The Shared Data Contracts</w:t>
      </w:r>
    </w:p>
    <w:p>
      <w:pPr>
        <w:spacing w:before="40" w:after="120" w:line="300" w:lineRule="auto"/>
        <w:jc w:val="both"/>
      </w:pPr>
      <w:r>
        <w:rPr>
          <w:rFonts w:ascii="Calibri" w:hAnsi="Calibri"/>
          <w:b w:val="0"/>
          <w:i w:val="0"/>
          <w:color w:val="2D3748"/>
          <w:sz w:val="22"/>
        </w:rPr>
        <w:t>The shared model enforces consistency across the entire pipeline:</w:t>
      </w:r>
    </w:p>
    <w:p>
      <w:pPr>
        <w:spacing w:before="20" w:after="60" w:line="276" w:lineRule="auto"/>
        <w:ind w:left="360"/>
        <w:jc w:val="left"/>
      </w:pPr>
      <w:r>
        <w:rPr>
          <w:rFonts w:ascii="Calibri" w:hAnsi="Calibri"/>
          <w:b/>
          <w:i w:val="0"/>
          <w:color w:val="2B6CB0"/>
          <w:sz w:val="18"/>
        </w:rPr>
        <w:t xml:space="preserve">▪  </w:t>
      </w:r>
      <w:r>
        <w:rPr>
          <w:rFonts w:ascii="Consolas" w:hAnsi="Consolas"/>
          <w:b w:val="0"/>
          <w:i w:val="0"/>
          <w:color w:val="2C5282"/>
          <w:sz w:val="19"/>
        </w:rPr>
        <w:t>Asset</w:t>
      </w:r>
      <w:r>
        <w:rPr>
          <w:rFonts w:ascii="Calibri" w:hAnsi="Calibri"/>
          <w:b w:val="0"/>
          <w:i w:val="0"/>
          <w:color w:val="2D3748"/>
          <w:sz w:val="21"/>
        </w:rPr>
        <w:t>: Represents an atomic discovered entity (</w:t>
      </w:r>
      <w:r>
        <w:rPr>
          <w:rFonts w:ascii="Consolas" w:hAnsi="Consolas"/>
          <w:b w:val="0"/>
          <w:i w:val="0"/>
          <w:color w:val="2C5282"/>
          <w:sz w:val="19"/>
        </w:rPr>
        <w:t>id</w:t>
      </w:r>
      <w:r>
        <w:rPr>
          <w:rFonts w:ascii="Calibri" w:hAnsi="Calibri"/>
          <w:b w:val="0"/>
          <w:i w:val="0"/>
          <w:color w:val="2D3748"/>
          <w:sz w:val="21"/>
        </w:rPr>
        <w:t xml:space="preserve">, </w:t>
      </w:r>
      <w:r>
        <w:rPr>
          <w:rFonts w:ascii="Consolas" w:hAnsi="Consolas"/>
          <w:b w:val="0"/>
          <w:i w:val="0"/>
          <w:color w:val="2C5282"/>
          <w:sz w:val="19"/>
        </w:rPr>
        <w:t>type</w:t>
      </w:r>
      <w:r>
        <w:rPr>
          <w:rFonts w:ascii="Calibri" w:hAnsi="Calibri"/>
          <w:b w:val="0"/>
          <w:i w:val="0"/>
          <w:color w:val="2D3748"/>
          <w:sz w:val="21"/>
        </w:rPr>
        <w:t xml:space="preserve">, </w:t>
      </w:r>
      <w:r>
        <w:rPr>
          <w:rFonts w:ascii="Consolas" w:hAnsi="Consolas"/>
          <w:b w:val="0"/>
          <w:i w:val="0"/>
          <w:color w:val="2C5282"/>
          <w:sz w:val="19"/>
        </w:rPr>
        <w:t>value</w:t>
      </w:r>
      <w:r>
        <w:rPr>
          <w:rFonts w:ascii="Calibri" w:hAnsi="Calibri"/>
          <w:b w:val="0"/>
          <w:i w:val="0"/>
          <w:color w:val="2D3748"/>
          <w:sz w:val="21"/>
        </w:rPr>
        <w:t xml:space="preserve">, </w:t>
      </w:r>
      <w:r>
        <w:rPr>
          <w:rFonts w:ascii="Consolas" w:hAnsi="Consolas"/>
          <w:b w:val="0"/>
          <w:i w:val="0"/>
          <w:color w:val="2C5282"/>
          <w:sz w:val="19"/>
        </w:rPr>
        <w:t>discoveredAt</w:t>
      </w:r>
      <w:r>
        <w:rPr>
          <w:rFonts w:ascii="Calibri" w:hAnsi="Calibri"/>
          <w:b w:val="0"/>
          <w:i w:val="0"/>
          <w:color w:val="2D3748"/>
          <w:sz w:val="21"/>
        </w:rPr>
        <w:t xml:space="preserve">, </w:t>
      </w:r>
      <w:r>
        <w:rPr>
          <w:rFonts w:ascii="Consolas" w:hAnsi="Consolas"/>
          <w:b w:val="0"/>
          <w:i w:val="0"/>
          <w:color w:val="2C5282"/>
          <w:sz w:val="19"/>
        </w:rPr>
        <w:t>targetDomain</w:t>
      </w:r>
      <w:r>
        <w:rPr>
          <w:rFonts w:ascii="Calibri" w:hAnsi="Calibri"/>
          <w:b w:val="0"/>
          <w:i w:val="0"/>
          <w:color w:val="2D3748"/>
          <w:sz w:val="21"/>
        </w:rPr>
        <w:t xml:space="preserve">, </w:t>
      </w:r>
      <w:r>
        <w:rPr>
          <w:rFonts w:ascii="Consolas" w:hAnsi="Consolas"/>
          <w:b w:val="0"/>
          <w:i w:val="0"/>
          <w:color w:val="2C5282"/>
          <w:sz w:val="19"/>
        </w:rPr>
        <w:t>evidence[]</w:t>
      </w:r>
      <w:r>
        <w:rPr>
          <w:rFonts w:ascii="Calibri" w:hAnsi="Calibri"/>
          <w:b w:val="0"/>
          <w:i w:val="0"/>
          <w:color w:val="2D3748"/>
          <w:sz w:val="21"/>
        </w:rPr>
        <w:t xml:space="preserve">, </w:t>
      </w:r>
      <w:r>
        <w:rPr>
          <w:rFonts w:ascii="Consolas" w:hAnsi="Consolas"/>
          <w:b w:val="0"/>
          <w:i w:val="0"/>
          <w:color w:val="2C5282"/>
          <w:sz w:val="19"/>
        </w:rPr>
        <w:t>metadata</w:t>
      </w:r>
      <w:r>
        <w:rPr>
          <w:rFonts w:ascii="Calibri" w:hAnsi="Calibri"/>
          <w:b w:val="0"/>
          <w:i w:val="0"/>
          <w:color w:val="2D3748"/>
          <w:sz w:val="21"/>
        </w:rPr>
        <w:t xml:space="preserve">). Supported asset types include </w:t>
      </w:r>
      <w:r>
        <w:rPr>
          <w:rFonts w:ascii="Consolas" w:hAnsi="Consolas"/>
          <w:b w:val="0"/>
          <w:i w:val="0"/>
          <w:color w:val="2C5282"/>
          <w:sz w:val="19"/>
        </w:rPr>
        <w:t>DOMAIN</w:t>
      </w:r>
      <w:r>
        <w:rPr>
          <w:rFonts w:ascii="Calibri" w:hAnsi="Calibri"/>
          <w:b w:val="0"/>
          <w:i w:val="0"/>
          <w:color w:val="2D3748"/>
          <w:sz w:val="21"/>
        </w:rPr>
        <w:t xml:space="preserve">, </w:t>
      </w:r>
      <w:r>
        <w:rPr>
          <w:rFonts w:ascii="Consolas" w:hAnsi="Consolas"/>
          <w:b w:val="0"/>
          <w:i w:val="0"/>
          <w:color w:val="2C5282"/>
          <w:sz w:val="19"/>
        </w:rPr>
        <w:t>SUBDOMAIN</w:t>
      </w:r>
      <w:r>
        <w:rPr>
          <w:rFonts w:ascii="Calibri" w:hAnsi="Calibri"/>
          <w:b w:val="0"/>
          <w:i w:val="0"/>
          <w:color w:val="2D3748"/>
          <w:sz w:val="21"/>
        </w:rPr>
        <w:t xml:space="preserve">, </w:t>
      </w:r>
      <w:r>
        <w:rPr>
          <w:rFonts w:ascii="Consolas" w:hAnsi="Consolas"/>
          <w:b w:val="0"/>
          <w:i w:val="0"/>
          <w:color w:val="2C5282"/>
          <w:sz w:val="19"/>
        </w:rPr>
        <w:t>IP</w:t>
      </w:r>
      <w:r>
        <w:rPr>
          <w:rFonts w:ascii="Calibri" w:hAnsi="Calibri"/>
          <w:b w:val="0"/>
          <w:i w:val="0"/>
          <w:color w:val="2D3748"/>
          <w:sz w:val="21"/>
        </w:rPr>
        <w:t xml:space="preserve">, </w:t>
      </w:r>
      <w:r>
        <w:rPr>
          <w:rFonts w:ascii="Consolas" w:hAnsi="Consolas"/>
          <w:b w:val="0"/>
          <w:i w:val="0"/>
          <w:color w:val="2C5282"/>
          <w:sz w:val="19"/>
        </w:rPr>
        <w:t>ASN</w:t>
      </w:r>
      <w:r>
        <w:rPr>
          <w:rFonts w:ascii="Calibri" w:hAnsi="Calibri"/>
          <w:b w:val="0"/>
          <w:i w:val="0"/>
          <w:color w:val="2D3748"/>
          <w:sz w:val="21"/>
        </w:rPr>
        <w:t xml:space="preserve">, </w:t>
      </w:r>
      <w:r>
        <w:rPr>
          <w:rFonts w:ascii="Consolas" w:hAnsi="Consolas"/>
          <w:b w:val="0"/>
          <w:i w:val="0"/>
          <w:color w:val="2C5282"/>
          <w:sz w:val="19"/>
        </w:rPr>
        <w:t>ORGANIZATION</w:t>
      </w:r>
      <w:r>
        <w:rPr>
          <w:rFonts w:ascii="Calibri" w:hAnsi="Calibri"/>
          <w:b w:val="0"/>
          <w:i w:val="0"/>
          <w:color w:val="2D3748"/>
          <w:sz w:val="21"/>
        </w:rPr>
        <w:t xml:space="preserve">, </w:t>
      </w:r>
      <w:r>
        <w:rPr>
          <w:rFonts w:ascii="Consolas" w:hAnsi="Consolas"/>
          <w:b w:val="0"/>
          <w:i w:val="0"/>
          <w:color w:val="2C5282"/>
          <w:sz w:val="19"/>
        </w:rPr>
        <w:t>NAMESERVER</w:t>
      </w:r>
      <w:r>
        <w:rPr>
          <w:rFonts w:ascii="Calibri" w:hAnsi="Calibri"/>
          <w:b w:val="0"/>
          <w:i w:val="0"/>
          <w:color w:val="2D3748"/>
          <w:sz w:val="21"/>
        </w:rPr>
        <w:t xml:space="preserve">, </w:t>
      </w:r>
      <w:r>
        <w:rPr>
          <w:rFonts w:ascii="Consolas" w:hAnsi="Consolas"/>
          <w:b w:val="0"/>
          <w:i w:val="0"/>
          <w:color w:val="2C5282"/>
          <w:sz w:val="19"/>
        </w:rPr>
        <w:t>MAIL_SERVER</w:t>
      </w:r>
      <w:r>
        <w:rPr>
          <w:rFonts w:ascii="Calibri" w:hAnsi="Calibri"/>
          <w:b w:val="0"/>
          <w:i w:val="0"/>
          <w:color w:val="2D3748"/>
          <w:sz w:val="21"/>
        </w:rPr>
        <w:t xml:space="preserve">, </w:t>
      </w:r>
      <w:r>
        <w:rPr>
          <w:rFonts w:ascii="Consolas" w:hAnsi="Consolas"/>
          <w:b w:val="0"/>
          <w:i w:val="0"/>
          <w:color w:val="2C5282"/>
          <w:sz w:val="19"/>
        </w:rPr>
        <w:t>CERTIFICATE</w:t>
      </w:r>
      <w:r>
        <w:rPr>
          <w:rFonts w:ascii="Calibri" w:hAnsi="Calibri"/>
          <w:b w:val="0"/>
          <w:i w:val="0"/>
          <w:color w:val="2D3748"/>
          <w:sz w:val="21"/>
        </w:rPr>
        <w:t xml:space="preserve">, </w:t>
      </w:r>
      <w:r>
        <w:rPr>
          <w:rFonts w:ascii="Consolas" w:hAnsi="Consolas"/>
          <w:b w:val="0"/>
          <w:i w:val="0"/>
          <w:color w:val="2C5282"/>
          <w:sz w:val="19"/>
        </w:rPr>
        <w:t>PORT</w:t>
      </w:r>
      <w:r>
        <w:rPr>
          <w:rFonts w:ascii="Calibri" w:hAnsi="Calibri"/>
          <w:b w:val="0"/>
          <w:i w:val="0"/>
          <w:color w:val="2D3748"/>
          <w:sz w:val="21"/>
        </w:rPr>
        <w:t xml:space="preserve">, </w:t>
      </w:r>
      <w:r>
        <w:rPr>
          <w:rFonts w:ascii="Consolas" w:hAnsi="Consolas"/>
          <w:b w:val="0"/>
          <w:i w:val="0"/>
          <w:color w:val="2C5282"/>
          <w:sz w:val="19"/>
        </w:rPr>
        <w:t>VULNERABILITY</w:t>
      </w:r>
      <w:r>
        <w:rPr>
          <w:rFonts w:ascii="Calibri" w:hAnsi="Calibri"/>
          <w:b w:val="0"/>
          <w:i w:val="0"/>
          <w:color w:val="2D3748"/>
          <w:sz w:val="21"/>
        </w:rPr>
        <w:t xml:space="preserve">, and </w:t>
      </w:r>
      <w:r>
        <w:rPr>
          <w:rFonts w:ascii="Consolas" w:hAnsi="Consolas"/>
          <w:b w:val="0"/>
          <w:i w:val="0"/>
          <w:color w:val="2C5282"/>
          <w:sz w:val="19"/>
        </w:rPr>
        <w:t>DNSSEC</w:t>
      </w:r>
      <w:r>
        <w:rPr>
          <w:rFonts w:ascii="Calibri" w:hAnsi="Calibri"/>
          <w:b w:val="0"/>
          <w:i w:val="0"/>
          <w:color w:val="2D3748"/>
          <w:sz w:val="21"/>
        </w:rPr>
        <w:t>.</w:t>
      </w:r>
    </w:p>
    <w:p>
      <w:pPr>
        <w:spacing w:before="20" w:after="60" w:line="276" w:lineRule="auto"/>
        <w:ind w:left="360"/>
        <w:jc w:val="left"/>
      </w:pPr>
      <w:r>
        <w:rPr>
          <w:rFonts w:ascii="Calibri" w:hAnsi="Calibri"/>
          <w:b/>
          <w:i w:val="0"/>
          <w:color w:val="2B6CB0"/>
          <w:sz w:val="18"/>
        </w:rPr>
        <w:t xml:space="preserve">▪  </w:t>
      </w:r>
      <w:r>
        <w:rPr>
          <w:rFonts w:ascii="Consolas" w:hAnsi="Consolas"/>
          <w:b w:val="0"/>
          <w:i w:val="0"/>
          <w:color w:val="2C5282"/>
          <w:sz w:val="19"/>
        </w:rPr>
        <w:t>Relationship</w:t>
      </w:r>
      <w:r>
        <w:rPr>
          <w:rFonts w:ascii="Calibri" w:hAnsi="Calibri"/>
          <w:b w:val="0"/>
          <w:i w:val="0"/>
          <w:color w:val="2D3748"/>
          <w:sz w:val="21"/>
        </w:rPr>
        <w:t>: Directed edge connecting two assets (</w:t>
      </w:r>
      <w:r>
        <w:rPr>
          <w:rFonts w:ascii="Consolas" w:hAnsi="Consolas"/>
          <w:b w:val="0"/>
          <w:i w:val="0"/>
          <w:color w:val="2C5282"/>
          <w:sz w:val="19"/>
        </w:rPr>
        <w:t>fromAssetId</w:t>
      </w:r>
      <w:r>
        <w:rPr>
          <w:rFonts w:ascii="Calibri" w:hAnsi="Calibri"/>
          <w:b w:val="0"/>
          <w:i w:val="0"/>
          <w:color w:val="2D3748"/>
          <w:sz w:val="21"/>
        </w:rPr>
        <w:t xml:space="preserve">, </w:t>
      </w:r>
      <w:r>
        <w:rPr>
          <w:rFonts w:ascii="Consolas" w:hAnsi="Consolas"/>
          <w:b w:val="0"/>
          <w:i w:val="0"/>
          <w:color w:val="2C5282"/>
          <w:sz w:val="19"/>
        </w:rPr>
        <w:t>toAssetId</w:t>
      </w:r>
      <w:r>
        <w:rPr>
          <w:rFonts w:ascii="Calibri" w:hAnsi="Calibri"/>
          <w:b w:val="0"/>
          <w:i w:val="0"/>
          <w:color w:val="2D3748"/>
          <w:sz w:val="21"/>
        </w:rPr>
        <w:t xml:space="preserve">, </w:t>
      </w:r>
      <w:r>
        <w:rPr>
          <w:rFonts w:ascii="Consolas" w:hAnsi="Consolas"/>
          <w:b w:val="0"/>
          <w:i w:val="0"/>
          <w:color w:val="2C5282"/>
          <w:sz w:val="19"/>
        </w:rPr>
        <w:t>type</w:t>
      </w:r>
      <w:r>
        <w:rPr>
          <w:rFonts w:ascii="Calibri" w:hAnsi="Calibri"/>
          <w:b w:val="0"/>
          <w:i w:val="0"/>
          <w:color w:val="2D3748"/>
          <w:sz w:val="21"/>
        </w:rPr>
        <w:t xml:space="preserve">, </w:t>
      </w:r>
      <w:r>
        <w:rPr>
          <w:rFonts w:ascii="Consolas" w:hAnsi="Consolas"/>
          <w:b w:val="0"/>
          <w:i w:val="0"/>
          <w:color w:val="2C5282"/>
          <w:sz w:val="19"/>
        </w:rPr>
        <w:t>evidence</w:t>
      </w:r>
      <w:r>
        <w:rPr>
          <w:rFonts w:ascii="Calibri" w:hAnsi="Calibri"/>
          <w:b w:val="0"/>
          <w:i w:val="0"/>
          <w:color w:val="2D3748"/>
          <w:sz w:val="21"/>
        </w:rPr>
        <w:t xml:space="preserve">). Supported relationship types include </w:t>
      </w:r>
      <w:r>
        <w:rPr>
          <w:rFonts w:ascii="Consolas" w:hAnsi="Consolas"/>
          <w:b w:val="0"/>
          <w:i w:val="0"/>
          <w:color w:val="2C5282"/>
          <w:sz w:val="19"/>
        </w:rPr>
        <w:t>resolves_to</w:t>
      </w:r>
      <w:r>
        <w:rPr>
          <w:rFonts w:ascii="Calibri" w:hAnsi="Calibri"/>
          <w:b w:val="0"/>
          <w:i w:val="0"/>
          <w:color w:val="2D3748"/>
          <w:sz w:val="21"/>
        </w:rPr>
        <w:t xml:space="preserve">, </w:t>
      </w:r>
      <w:r>
        <w:rPr>
          <w:rFonts w:ascii="Consolas" w:hAnsi="Consolas"/>
          <w:b w:val="0"/>
          <w:i w:val="0"/>
          <w:color w:val="2C5282"/>
          <w:sz w:val="19"/>
        </w:rPr>
        <w:t>uses_nameserver</w:t>
      </w:r>
      <w:r>
        <w:rPr>
          <w:rFonts w:ascii="Calibri" w:hAnsi="Calibri"/>
          <w:b w:val="0"/>
          <w:i w:val="0"/>
          <w:color w:val="2D3748"/>
          <w:sz w:val="21"/>
        </w:rPr>
        <w:t xml:space="preserve">, </w:t>
      </w:r>
      <w:r>
        <w:rPr>
          <w:rFonts w:ascii="Consolas" w:hAnsi="Consolas"/>
          <w:b w:val="0"/>
          <w:i w:val="0"/>
          <w:color w:val="2C5282"/>
          <w:sz w:val="19"/>
        </w:rPr>
        <w:t>delivers_mail_to</w:t>
      </w:r>
      <w:r>
        <w:rPr>
          <w:rFonts w:ascii="Calibri" w:hAnsi="Calibri"/>
          <w:b w:val="0"/>
          <w:i w:val="0"/>
          <w:color w:val="2D3748"/>
          <w:sz w:val="21"/>
        </w:rPr>
        <w:t xml:space="preserve">, </w:t>
      </w:r>
      <w:r>
        <w:rPr>
          <w:rFonts w:ascii="Consolas" w:hAnsi="Consolas"/>
          <w:b w:val="0"/>
          <w:i w:val="0"/>
          <w:color w:val="2C5282"/>
          <w:sz w:val="19"/>
        </w:rPr>
        <w:t>belongs_to_asn</w:t>
      </w:r>
      <w:r>
        <w:rPr>
          <w:rFonts w:ascii="Calibri" w:hAnsi="Calibri"/>
          <w:b w:val="0"/>
          <w:i w:val="0"/>
          <w:color w:val="2D3748"/>
          <w:sz w:val="21"/>
        </w:rPr>
        <w:t xml:space="preserve">, </w:t>
      </w:r>
      <w:r>
        <w:rPr>
          <w:rFonts w:ascii="Consolas" w:hAnsi="Consolas"/>
          <w:b w:val="0"/>
          <w:i w:val="0"/>
          <w:color w:val="2C5282"/>
          <w:sz w:val="19"/>
        </w:rPr>
        <w:t>secured_by</w:t>
      </w:r>
      <w:r>
        <w:rPr>
          <w:rFonts w:ascii="Calibri" w:hAnsi="Calibri"/>
          <w:b w:val="0"/>
          <w:i w:val="0"/>
          <w:color w:val="2D3748"/>
          <w:sz w:val="21"/>
        </w:rPr>
        <w:t xml:space="preserve">, </w:t>
      </w:r>
      <w:r>
        <w:rPr>
          <w:rFonts w:ascii="Consolas" w:hAnsi="Consolas"/>
          <w:b w:val="0"/>
          <w:i w:val="0"/>
          <w:color w:val="2C5282"/>
          <w:sz w:val="19"/>
        </w:rPr>
        <w:t>exposes_port</w:t>
      </w:r>
      <w:r>
        <w:rPr>
          <w:rFonts w:ascii="Calibri" w:hAnsi="Calibri"/>
          <w:b w:val="0"/>
          <w:i w:val="0"/>
          <w:color w:val="2D3748"/>
          <w:sz w:val="21"/>
        </w:rPr>
        <w:t xml:space="preserve">, and </w:t>
      </w:r>
      <w:r>
        <w:rPr>
          <w:rFonts w:ascii="Consolas" w:hAnsi="Consolas"/>
          <w:b w:val="0"/>
          <w:i w:val="0"/>
          <w:color w:val="2C5282"/>
          <w:sz w:val="19"/>
        </w:rPr>
        <w:t>vulnerable_to</w:t>
      </w:r>
      <w:r>
        <w:rPr>
          <w:rFonts w:ascii="Calibri" w:hAnsi="Calibri"/>
          <w:b w:val="0"/>
          <w:i w:val="0"/>
          <w:color w:val="2D3748"/>
          <w:sz w:val="21"/>
        </w:rPr>
        <w:t>.</w:t>
      </w:r>
    </w:p>
    <w:p>
      <w:pPr>
        <w:spacing w:before="20" w:after="60" w:line="276" w:lineRule="auto"/>
        <w:ind w:left="360"/>
        <w:jc w:val="left"/>
      </w:pPr>
      <w:r>
        <w:rPr>
          <w:rFonts w:ascii="Calibri" w:hAnsi="Calibri"/>
          <w:b/>
          <w:i w:val="0"/>
          <w:color w:val="2B6CB0"/>
          <w:sz w:val="18"/>
        </w:rPr>
        <w:t xml:space="preserve">▪  </w:t>
      </w:r>
      <w:r>
        <w:rPr>
          <w:rFonts w:ascii="Consolas" w:hAnsi="Consolas"/>
          <w:b w:val="0"/>
          <w:i w:val="0"/>
          <w:color w:val="2C5282"/>
          <w:sz w:val="19"/>
        </w:rPr>
        <w:t>Finding</w:t>
      </w:r>
      <w:r>
        <w:rPr>
          <w:rFonts w:ascii="Calibri" w:hAnsi="Calibri"/>
          <w:b w:val="0"/>
          <w:i w:val="0"/>
          <w:color w:val="2D3748"/>
          <w:sz w:val="21"/>
        </w:rPr>
        <w:t xml:space="preserve">: Security observation containing </w:t>
      </w:r>
      <w:r>
        <w:rPr>
          <w:rFonts w:ascii="Consolas" w:hAnsi="Consolas"/>
          <w:b w:val="0"/>
          <w:i w:val="0"/>
          <w:color w:val="2C5282"/>
          <w:sz w:val="19"/>
        </w:rPr>
        <w:t>severity</w:t>
      </w:r>
      <w:r>
        <w:rPr>
          <w:rFonts w:ascii="Calibri" w:hAnsi="Calibri"/>
          <w:b w:val="0"/>
          <w:i w:val="0"/>
          <w:color w:val="2D3748"/>
          <w:sz w:val="21"/>
        </w:rPr>
        <w:t xml:space="preserve"> (</w:t>
      </w:r>
      <w:r>
        <w:rPr>
          <w:rFonts w:ascii="Consolas" w:hAnsi="Consolas"/>
          <w:b w:val="0"/>
          <w:i w:val="0"/>
          <w:color w:val="2C5282"/>
          <w:sz w:val="19"/>
        </w:rPr>
        <w:t>informational</w:t>
      </w:r>
      <w:r>
        <w:rPr>
          <w:rFonts w:ascii="Calibri" w:hAnsi="Calibri"/>
          <w:b w:val="0"/>
          <w:i w:val="0"/>
          <w:color w:val="2D3748"/>
          <w:sz w:val="21"/>
        </w:rPr>
        <w:t xml:space="preserve">, </w:t>
      </w:r>
      <w:r>
        <w:rPr>
          <w:rFonts w:ascii="Consolas" w:hAnsi="Consolas"/>
          <w:b w:val="0"/>
          <w:i w:val="0"/>
          <w:color w:val="2C5282"/>
          <w:sz w:val="19"/>
        </w:rPr>
        <w:t>low</w:t>
      </w:r>
      <w:r>
        <w:rPr>
          <w:rFonts w:ascii="Calibri" w:hAnsi="Calibri"/>
          <w:b w:val="0"/>
          <w:i w:val="0"/>
          <w:color w:val="2D3748"/>
          <w:sz w:val="21"/>
        </w:rPr>
        <w:t xml:space="preserve">, </w:t>
      </w:r>
      <w:r>
        <w:rPr>
          <w:rFonts w:ascii="Consolas" w:hAnsi="Consolas"/>
          <w:b w:val="0"/>
          <w:i w:val="0"/>
          <w:color w:val="2C5282"/>
          <w:sz w:val="19"/>
        </w:rPr>
        <w:t>medium</w:t>
      </w:r>
      <w:r>
        <w:rPr>
          <w:rFonts w:ascii="Calibri" w:hAnsi="Calibri"/>
          <w:b w:val="0"/>
          <w:i w:val="0"/>
          <w:color w:val="2D3748"/>
          <w:sz w:val="21"/>
        </w:rPr>
        <w:t xml:space="preserve">, </w:t>
      </w:r>
      <w:r>
        <w:rPr>
          <w:rFonts w:ascii="Consolas" w:hAnsi="Consolas"/>
          <w:b w:val="0"/>
          <w:i w:val="0"/>
          <w:color w:val="2C5282"/>
          <w:sz w:val="19"/>
        </w:rPr>
        <w:t>high</w:t>
      </w:r>
      <w:r>
        <w:rPr>
          <w:rFonts w:ascii="Calibri" w:hAnsi="Calibri"/>
          <w:b w:val="0"/>
          <w:i w:val="0"/>
          <w:color w:val="2D3748"/>
          <w:sz w:val="21"/>
        </w:rPr>
        <w:t xml:space="preserve">), </w:t>
      </w:r>
      <w:r>
        <w:rPr>
          <w:rFonts w:ascii="Consolas" w:hAnsi="Consolas"/>
          <w:b w:val="0"/>
          <w:i w:val="0"/>
          <w:color w:val="2C5282"/>
          <w:sz w:val="19"/>
        </w:rPr>
        <w:t>kind</w:t>
      </w:r>
      <w:r>
        <w:rPr>
          <w:rFonts w:ascii="Calibri" w:hAnsi="Calibri"/>
          <w:b w:val="0"/>
          <w:i w:val="0"/>
          <w:color w:val="2D3748"/>
          <w:sz w:val="21"/>
        </w:rPr>
        <w:t xml:space="preserve"> (</w:t>
      </w:r>
      <w:r>
        <w:rPr>
          <w:rFonts w:ascii="Consolas" w:hAnsi="Consolas"/>
          <w:b w:val="0"/>
          <w:i w:val="0"/>
          <w:color w:val="2C5282"/>
          <w:sz w:val="19"/>
        </w:rPr>
        <w:t>observation</w:t>
      </w:r>
      <w:r>
        <w:rPr>
          <w:rFonts w:ascii="Calibri" w:hAnsi="Calibri"/>
          <w:b w:val="0"/>
          <w:i w:val="0"/>
          <w:color w:val="2D3748"/>
          <w:sz w:val="21"/>
        </w:rPr>
        <w:t xml:space="preserve">, </w:t>
      </w:r>
      <w:r>
        <w:rPr>
          <w:rFonts w:ascii="Consolas" w:hAnsi="Consolas"/>
          <w:b w:val="0"/>
          <w:i w:val="0"/>
          <w:color w:val="2C5282"/>
          <w:sz w:val="19"/>
        </w:rPr>
        <w:t>configuration_weakness</w:t>
      </w:r>
      <w:r>
        <w:rPr>
          <w:rFonts w:ascii="Calibri" w:hAnsi="Calibri"/>
          <w:b w:val="0"/>
          <w:i w:val="0"/>
          <w:color w:val="2D3748"/>
          <w:sz w:val="21"/>
        </w:rPr>
        <w:t xml:space="preserve">, </w:t>
      </w:r>
      <w:r>
        <w:rPr>
          <w:rFonts w:ascii="Consolas" w:hAnsi="Consolas"/>
          <w:b w:val="0"/>
          <w:i w:val="0"/>
          <w:color w:val="2C5282"/>
          <w:sz w:val="19"/>
        </w:rPr>
        <w:t>recommendation</w:t>
      </w:r>
      <w:r>
        <w:rPr>
          <w:rFonts w:ascii="Calibri" w:hAnsi="Calibri"/>
          <w:b w:val="0"/>
          <w:i w:val="0"/>
          <w:color w:val="2D3748"/>
          <w:sz w:val="21"/>
        </w:rPr>
        <w:t xml:space="preserve">), </w:t>
      </w:r>
      <w:r>
        <w:rPr>
          <w:rFonts w:ascii="Consolas" w:hAnsi="Consolas"/>
          <w:b w:val="0"/>
          <w:i w:val="0"/>
          <w:color w:val="2C5282"/>
          <w:sz w:val="19"/>
        </w:rPr>
        <w:t>observationStatus</w:t>
      </w:r>
      <w:r>
        <w:rPr>
          <w:rFonts w:ascii="Calibri" w:hAnsi="Calibri"/>
          <w:b w:val="0"/>
          <w:i w:val="0"/>
          <w:color w:val="2D3748"/>
          <w:sz w:val="21"/>
        </w:rPr>
        <w:t xml:space="preserve"> (</w:t>
      </w:r>
      <w:r>
        <w:rPr>
          <w:rFonts w:ascii="Consolas" w:hAnsi="Consolas"/>
          <w:b w:val="0"/>
          <w:i w:val="0"/>
          <w:color w:val="2C5282"/>
          <w:sz w:val="19"/>
        </w:rPr>
        <w:t>observed</w:t>
      </w:r>
      <w:r>
        <w:rPr>
          <w:rFonts w:ascii="Calibri" w:hAnsi="Calibri"/>
          <w:b w:val="0"/>
          <w:i w:val="0"/>
          <w:color w:val="2D3748"/>
          <w:sz w:val="21"/>
        </w:rPr>
        <w:t xml:space="preserve">, </w:t>
      </w:r>
      <w:r>
        <w:rPr>
          <w:rFonts w:ascii="Consolas" w:hAnsi="Consolas"/>
          <w:b w:val="0"/>
          <w:i w:val="0"/>
          <w:color w:val="2C5282"/>
          <w:sz w:val="19"/>
        </w:rPr>
        <w:t>not_observed</w:t>
      </w:r>
      <w:r>
        <w:rPr>
          <w:rFonts w:ascii="Calibri" w:hAnsi="Calibri"/>
          <w:b w:val="0"/>
          <w:i w:val="0"/>
          <w:color w:val="2D3748"/>
          <w:sz w:val="21"/>
        </w:rPr>
        <w:t xml:space="preserve">, </w:t>
      </w:r>
      <w:r>
        <w:rPr>
          <w:rFonts w:ascii="Consolas" w:hAnsi="Consolas"/>
          <w:b w:val="0"/>
          <w:i w:val="0"/>
          <w:color w:val="2C5282"/>
          <w:sz w:val="19"/>
        </w:rPr>
        <w:t>check_failed</w:t>
      </w:r>
      <w:r>
        <w:rPr>
          <w:rFonts w:ascii="Calibri" w:hAnsi="Calibri"/>
          <w:b w:val="0"/>
          <w:i w:val="0"/>
          <w:color w:val="2D3748"/>
          <w:sz w:val="21"/>
        </w:rPr>
        <w:t xml:space="preserve">), and the structured 10-section </w:t>
      </w:r>
      <w:r>
        <w:rPr>
          <w:rFonts w:ascii="Consolas" w:hAnsi="Consolas"/>
          <w:b w:val="0"/>
          <w:i w:val="0"/>
          <w:color w:val="2C5282"/>
          <w:sz w:val="19"/>
        </w:rPr>
        <w:t>FindingAnalysis</w:t>
      </w:r>
      <w:r>
        <w:rPr>
          <w:rFonts w:ascii="Calibri" w:hAnsi="Calibri"/>
          <w:b w:val="0"/>
          <w:i w:val="0"/>
          <w:color w:val="2D3748"/>
          <w:sz w:val="21"/>
        </w:rPr>
        <w:t>.</w:t>
      </w:r>
    </w:p>
    <w:p>
      <w:pPr>
        <w:spacing w:before="20" w:after="60" w:line="276" w:lineRule="auto"/>
        <w:ind w:left="360"/>
        <w:jc w:val="left"/>
      </w:pPr>
      <w:r>
        <w:rPr>
          <w:rFonts w:ascii="Calibri" w:hAnsi="Calibri"/>
          <w:b/>
          <w:i w:val="0"/>
          <w:color w:val="2B6CB0"/>
          <w:sz w:val="18"/>
        </w:rPr>
        <w:t xml:space="preserve">▪  </w:t>
      </w:r>
      <w:r>
        <w:rPr>
          <w:rFonts w:ascii="Consolas" w:hAnsi="Consolas"/>
          <w:b w:val="0"/>
          <w:i w:val="0"/>
          <w:color w:val="2C5282"/>
          <w:sz w:val="19"/>
        </w:rPr>
        <w:t>ScoreBreakdown</w:t>
      </w:r>
      <w:r>
        <w:rPr>
          <w:rFonts w:ascii="Calibri" w:hAnsi="Calibri"/>
          <w:b w:val="0"/>
          <w:i w:val="0"/>
          <w:color w:val="2D3748"/>
          <w:sz w:val="21"/>
        </w:rPr>
        <w:t xml:space="preserve">: Transparent score ledger tracking </w:t>
      </w:r>
      <w:r>
        <w:rPr>
          <w:rFonts w:ascii="Consolas" w:hAnsi="Consolas"/>
          <w:b w:val="0"/>
          <w:i w:val="0"/>
          <w:color w:val="2C5282"/>
          <w:sz w:val="19"/>
        </w:rPr>
        <w:t>scoringVersion</w:t>
      </w:r>
      <w:r>
        <w:rPr>
          <w:rFonts w:ascii="Calibri" w:hAnsi="Calibri"/>
          <w:b w:val="0"/>
          <w:i w:val="0"/>
          <w:color w:val="2D3748"/>
          <w:sz w:val="21"/>
        </w:rPr>
        <w:t xml:space="preserve">, </w:t>
      </w:r>
      <w:r>
        <w:rPr>
          <w:rFonts w:ascii="Consolas" w:hAnsi="Consolas"/>
          <w:b w:val="0"/>
          <w:i w:val="0"/>
          <w:color w:val="2C5282"/>
          <w:sz w:val="19"/>
        </w:rPr>
        <w:t>total</w:t>
      </w:r>
      <w:r>
        <w:rPr>
          <w:rFonts w:ascii="Calibri" w:hAnsi="Calibri"/>
          <w:b w:val="0"/>
          <w:i w:val="0"/>
          <w:color w:val="2D3748"/>
          <w:sz w:val="21"/>
        </w:rPr>
        <w:t xml:space="preserve"> (0–100), </w:t>
      </w:r>
      <w:r>
        <w:rPr>
          <w:rFonts w:ascii="Consolas" w:hAnsi="Consolas"/>
          <w:b w:val="0"/>
          <w:i w:val="0"/>
          <w:color w:val="2C5282"/>
          <w:sz w:val="19"/>
        </w:rPr>
        <w:t>totalDeducted</w:t>
      </w:r>
      <w:r>
        <w:rPr>
          <w:rFonts w:ascii="Calibri" w:hAnsi="Calibri"/>
          <w:b w:val="0"/>
          <w:i w:val="0"/>
          <w:color w:val="2D3748"/>
          <w:sz w:val="21"/>
        </w:rPr>
        <w:t xml:space="preserve">, and typed </w:t>
      </w:r>
      <w:r>
        <w:rPr>
          <w:rFonts w:ascii="Consolas" w:hAnsi="Consolas"/>
          <w:b w:val="0"/>
          <w:i w:val="0"/>
          <w:color w:val="2C5282"/>
          <w:sz w:val="19"/>
        </w:rPr>
        <w:t>DimensionScore</w:t>
      </w:r>
      <w:r>
        <w:rPr>
          <w:rFonts w:ascii="Calibri" w:hAnsi="Calibri"/>
          <w:b w:val="0"/>
          <w:i w:val="0"/>
          <w:color w:val="2D3748"/>
          <w:sz w:val="21"/>
        </w:rPr>
        <w:t xml:space="preserve"> records for all six evaluation categories.</w:t>
      </w:r>
    </w:p>
    <w:p>
      <w:pPr>
        <w:spacing w:before="120" w:after="120" w:line="300" w:lineRule="auto"/>
        <w:jc w:val="center"/>
      </w:pPr>
      <w:r>
        <w:rPr>
          <w:color w:val="E2E8F0"/>
          <w:sz w:val="20"/>
        </w:rPr>
        <w:t>―――――――――――――――――――――――――――――――――――――――――――――――――――――――</w:t>
      </w:r>
    </w:p>
    <w:p>
      <w:pPr>
        <w:keepNext/>
        <w:spacing w:before="280" w:after="80" w:line="300" w:lineRule="auto"/>
        <w:jc w:val="left"/>
      </w:pPr>
      <w:r>
        <w:rPr>
          <w:rFonts w:ascii="Calibri" w:hAnsi="Calibri"/>
          <w:b/>
          <w:i w:val="0"/>
          <w:color w:val="2B6CB0"/>
          <w:sz w:val="30"/>
        </w:rPr>
        <w:t>10. METHODOLOGY</w:t>
      </w:r>
    </w:p>
    <w:p>
      <w:pPr>
        <w:spacing w:before="40" w:after="120" w:line="300" w:lineRule="auto"/>
        <w:jc w:val="both"/>
      </w:pPr>
      <w:r>
        <w:rPr>
          <w:rFonts w:ascii="Calibri" w:hAnsi="Calibri"/>
          <w:b w:val="0"/>
          <w:i w:val="0"/>
          <w:color w:val="2D3748"/>
          <w:sz w:val="22"/>
        </w:rPr>
        <w:t>The DASS reconnaissance lifecycle proceeds through a deterministic, phased pipeline:</w:t>
      </w:r>
    </w:p>
    <w:tbl>
      <w:tblPr>
        <w:tblW w:type="auto" w:w="0"/>
        <w:jc w:val="center"/>
        <w:tblLook w:firstColumn="1" w:firstRow="1" w:lastColumn="0" w:lastRow="0" w:noHBand="0" w:noVBand="1" w:val="04A0"/>
      </w:tblPr>
      <w:tblGrid>
        <w:gridCol w:w="9029"/>
      </w:tblGrid>
      <w:tr>
        <w:tc>
          <w:tcPr>
            <w:tcW w:type="dxa" w:w="9029"/>
            <w:tcMar>
              <w:top w:w="100" w:type="dxa"/>
              <w:bottom w:w="100" w:type="dxa"/>
              <w:left w:w="140" w:type="dxa"/>
              <w:right w:w="140" w:type="dxa"/>
            </w:tcMar>
            <w:shd w:fill="F1F5F9"/>
          </w:tcPr>
          <w:p>
            <w:pPr>
              <w:spacing w:before="40" w:after="40" w:line="252" w:lineRule="auto"/>
              <w:jc w:val="left"/>
            </w:pPr>
            <w:r>
              <w:rPr>
                <w:rFonts w:ascii="Consolas" w:hAnsi="Consolas"/>
                <w:b w:val="0"/>
                <w:i w:val="0"/>
                <w:color w:val="1A202C"/>
                <w:sz w:val="17"/>
              </w:rPr>
              <w:t>[Phase 1: Ingestion &amp; Validation]</w:t>
              <w:br/>
              <w:t xml:space="preserve">  Target Input -&gt; RFC Domain Syntax Validation -&gt; Public DNS Resolution -&gt; SSRF Guard Check</w:t>
              <w:br/>
              <w:t xml:space="preserve">       |</w:t>
              <w:br/>
              <w:t>[Phase 2: Authorization &amp; Quota]</w:t>
              <w:br/>
              <w:t xml:space="preserve">  Session Extraction -&gt; Quota Verification (5/hr anon, 50/hr reg) -&gt; Scan ID Generation</w:t>
              <w:br/>
              <w:t xml:space="preserve">       |</w:t>
              <w:br/>
              <w:t>[Phase 3: Parallel Intelligence Collection]</w:t>
              <w:br/>
              <w:t xml:space="preserve">  +-&gt; Worker 1: DNS Resolution (A, AAAA, MX, TXT, NS, CAA, DNSSEC)</w:t>
              <w:br/>
              <w:t xml:space="preserve">  +-&gt; Worker 2: Certificate Transparency Mining (crt.sh Logs)</w:t>
              <w:br/>
              <w:t xml:space="preserve">  +-&gt; Worker 3: Domain Registration Inspection (WHOIS / RDAP)</w:t>
              <w:br/>
              <w:t xml:space="preserve">  +-&gt; Worker 4: Transport Layer Analysis (TLS Handshake, Ciphers, Certs)</w:t>
              <w:br/>
              <w:t xml:space="preserve">  +-&gt; Worker 5: HTTP Perimeter Probe (Safe HTTP, HSTS, Security Headers)</w:t>
              <w:br/>
              <w:t xml:space="preserve">  +-&gt; Worker 6: Email Security Analysis (SPF Parsing, DMARC Evaluation)</w:t>
              <w:br/>
              <w:t xml:space="preserve">  +-&gt; Worker 7: Network Routing &amp; Geo (IP-to-ASN, BGP Prefixes, Coordinates)</w:t>
              <w:br/>
              <w:t xml:space="preserve">  +-&gt; Worker 8: Passive Exposure Registry (Shodan InternetDB Ports &amp; CVEs)</w:t>
              <w:br/>
              <w:t xml:space="preserve">  +-&gt; Worker 9: Cloud Storage &amp; Document Metadata Checks (Safe HEAD Probes)</w:t>
              <w:br/>
              <w:t xml:space="preserve">       |</w:t>
              <w:br/>
              <w:t>[Phase 4: Normalization &amp; Graph Construction]</w:t>
              <w:br/>
              <w:t xml:space="preserve">  Deduplicate Entities -&gt; Create Typed Assets -&gt; Construct Directed Relationship Edges</w:t>
              <w:br/>
              <w:t xml:space="preserve">       |</w:t>
              <w:br/>
              <w:t>[Phase 5: Finding Synthesis &amp; Hygiene Scoring]</w:t>
              <w:br/>
              <w:t xml:space="preserve">  Apply 21 Deterministic Rules -&gt; Generate Structured Finding Analyses -&gt; Compute v1 Score</w:t>
              <w:br/>
              <w:t xml:space="preserve">       |</w:t>
              <w:br/>
              <w:t>[Phase 6: Persistence &amp; Presentation]</w:t>
              <w:br/>
              <w:t xml:space="preserve">  Commit to Store (PostgreSQL / JSON) -&gt; Serve Telemetry &amp; Render Client Views</w:t>
            </w:r>
          </w:p>
        </w:tc>
      </w:tr>
    </w:tbl>
    <w:p>
      <w:pPr>
        <w:spacing w:after="80"/>
      </w:pPr>
    </w:p>
    <w:p>
      <w:pPr>
        <w:keepNext/>
        <w:spacing w:before="200" w:after="60" w:line="300" w:lineRule="auto"/>
        <w:jc w:val="left"/>
      </w:pPr>
      <w:r>
        <w:rPr>
          <w:rFonts w:ascii="Calibri" w:hAnsi="Calibri"/>
          <w:b/>
          <w:i w:val="0"/>
          <w:color w:val="2C5282"/>
          <w:sz w:val="25"/>
        </w:rPr>
        <w:t>Detailed Execution Steps:</w:t>
      </w:r>
    </w:p>
    <w:p>
      <w:pPr>
        <w:spacing w:before="20" w:after="60" w:line="276" w:lineRule="auto"/>
        <w:ind w:left="360"/>
        <w:jc w:val="left"/>
      </w:pPr>
      <w:r>
        <w:rPr>
          <w:rFonts w:ascii="Calibri" w:hAnsi="Calibri"/>
          <w:b/>
          <w:i w:val="0"/>
          <w:color w:val="2B6CB0"/>
          <w:sz w:val="21"/>
        </w:rPr>
        <w:t xml:space="preserve">1.  </w:t>
      </w:r>
      <w:r>
        <w:rPr>
          <w:rFonts w:ascii="Calibri" w:hAnsi="Calibri"/>
          <w:b/>
          <w:i w:val="0"/>
          <w:color w:val="2D3748"/>
          <w:sz w:val="21"/>
        </w:rPr>
        <w:t>Target Ingestion &amp; Normalization:</w:t>
      </w:r>
      <w:r>
        <w:rPr>
          <w:rFonts w:ascii="Calibri" w:hAnsi="Calibri"/>
          <w:b w:val="0"/>
          <w:i w:val="0"/>
          <w:color w:val="2D3748"/>
          <w:sz w:val="21"/>
        </w:rPr>
        <w:t xml:space="preserve"> The user submits a target domain string via the workstation input. The system converts it to lowercase, strips URL schemes (</w:t>
      </w:r>
      <w:r>
        <w:rPr>
          <w:rFonts w:ascii="Consolas" w:hAnsi="Consolas"/>
          <w:b w:val="0"/>
          <w:i w:val="0"/>
          <w:color w:val="2C5282"/>
          <w:sz w:val="19"/>
        </w:rPr>
        <w:t>http://</w:t>
      </w:r>
      <w:r>
        <w:rPr>
          <w:rFonts w:ascii="Calibri" w:hAnsi="Calibri"/>
          <w:b w:val="0"/>
          <w:i w:val="0"/>
          <w:color w:val="2D3748"/>
          <w:sz w:val="21"/>
        </w:rPr>
        <w:t xml:space="preserve">, </w:t>
      </w:r>
      <w:r>
        <w:rPr>
          <w:rFonts w:ascii="Consolas" w:hAnsi="Consolas"/>
          <w:b w:val="0"/>
          <w:i w:val="0"/>
          <w:color w:val="2C5282"/>
          <w:sz w:val="19"/>
        </w:rPr>
        <w:t>https://</w:t>
      </w:r>
      <w:r>
        <w:rPr>
          <w:rFonts w:ascii="Calibri" w:hAnsi="Calibri"/>
          <w:b w:val="0"/>
          <w:i w:val="0"/>
          <w:color w:val="2D3748"/>
          <w:sz w:val="21"/>
        </w:rPr>
        <w:t>), trims trailing slashes, and removes paths.</w:t>
      </w:r>
    </w:p>
    <w:p>
      <w:pPr>
        <w:spacing w:before="20" w:after="60" w:line="276" w:lineRule="auto"/>
        <w:ind w:left="360"/>
        <w:jc w:val="left"/>
      </w:pPr>
      <w:r>
        <w:rPr>
          <w:rFonts w:ascii="Calibri" w:hAnsi="Calibri"/>
          <w:b/>
          <w:i w:val="0"/>
          <w:color w:val="2B6CB0"/>
          <w:sz w:val="21"/>
        </w:rPr>
        <w:t xml:space="preserve">2.  </w:t>
      </w:r>
      <w:r>
        <w:rPr>
          <w:rFonts w:ascii="Calibri" w:hAnsi="Calibri"/>
          <w:b/>
          <w:i w:val="0"/>
          <w:color w:val="2D3748"/>
          <w:sz w:val="21"/>
        </w:rPr>
        <w:t>Pre-flight SSRF Validation:</w:t>
      </w:r>
      <w:r>
        <w:rPr>
          <w:rFonts w:ascii="Calibri" w:hAnsi="Calibri"/>
          <w:b w:val="0"/>
          <w:i w:val="0"/>
          <w:color w:val="2D3748"/>
          <w:sz w:val="21"/>
        </w:rPr>
        <w:t xml:space="preserve"> The domain is passed to </w:t>
      </w:r>
      <w:r>
        <w:rPr>
          <w:rFonts w:ascii="Consolas" w:hAnsi="Consolas"/>
          <w:b w:val="0"/>
          <w:i w:val="0"/>
          <w:color w:val="2C5282"/>
          <w:sz w:val="19"/>
        </w:rPr>
        <w:t>publicResolution.ts</w:t>
      </w:r>
      <w:r>
        <w:rPr>
          <w:rFonts w:ascii="Calibri" w:hAnsi="Calibri"/>
          <w:b w:val="0"/>
          <w:i w:val="0"/>
          <w:color w:val="2D3748"/>
          <w:sz w:val="21"/>
        </w:rPr>
        <w:t xml:space="preserve">. The resolver queries authoritative DNS for A and AAAA records. Every resolved IP address is verified against private, loopback, link-local, carrier-grade NAT, and cloud metadata CIDR ranges. If any address matches a restricted range, the scan is rejected with </w:t>
      </w:r>
      <w:r>
        <w:rPr>
          <w:rFonts w:ascii="Consolas" w:hAnsi="Consolas"/>
          <w:b w:val="0"/>
          <w:i w:val="0"/>
          <w:color w:val="2C5282"/>
          <w:sz w:val="19"/>
        </w:rPr>
        <w:t>400 Bad Request</w:t>
      </w:r>
      <w:r>
        <w:rPr>
          <w:rFonts w:ascii="Calibri" w:hAnsi="Calibri"/>
          <w:b w:val="0"/>
          <w:i w:val="0"/>
          <w:color w:val="2D3748"/>
          <w:sz w:val="21"/>
        </w:rPr>
        <w:t>.</w:t>
      </w:r>
    </w:p>
    <w:p>
      <w:pPr>
        <w:spacing w:before="20" w:after="60" w:line="276" w:lineRule="auto"/>
        <w:ind w:left="360"/>
        <w:jc w:val="left"/>
      </w:pPr>
      <w:r>
        <w:rPr>
          <w:rFonts w:ascii="Calibri" w:hAnsi="Calibri"/>
          <w:b/>
          <w:i w:val="0"/>
          <w:color w:val="2B6CB0"/>
          <w:sz w:val="21"/>
        </w:rPr>
        <w:t xml:space="preserve">3.  </w:t>
      </w:r>
      <w:r>
        <w:rPr>
          <w:rFonts w:ascii="Calibri" w:hAnsi="Calibri"/>
          <w:b/>
          <w:i w:val="0"/>
          <w:color w:val="2D3748"/>
          <w:sz w:val="21"/>
        </w:rPr>
        <w:t>Quota Allocation:</w:t>
      </w:r>
      <w:r>
        <w:rPr>
          <w:rFonts w:ascii="Calibri" w:hAnsi="Calibri"/>
          <w:b w:val="0"/>
          <w:i w:val="0"/>
          <w:color w:val="2D3748"/>
          <w:sz w:val="21"/>
        </w:rPr>
        <w:t xml:space="preserve"> The system verifies the user's hourly quota window. Anonymous visitors are allocated 5 scans per rolling hour; authenticated users receive 50 scans per rolling hour.</w:t>
      </w:r>
    </w:p>
    <w:p>
      <w:pPr>
        <w:spacing w:before="20" w:after="60" w:line="276" w:lineRule="auto"/>
        <w:ind w:left="360"/>
        <w:jc w:val="left"/>
      </w:pPr>
      <w:r>
        <w:rPr>
          <w:rFonts w:ascii="Calibri" w:hAnsi="Calibri"/>
          <w:b/>
          <w:i w:val="0"/>
          <w:color w:val="2B6CB0"/>
          <w:sz w:val="21"/>
        </w:rPr>
        <w:t xml:space="preserve">4.  </w:t>
      </w:r>
      <w:r>
        <w:rPr>
          <w:rFonts w:ascii="Calibri" w:hAnsi="Calibri"/>
          <w:b/>
          <w:i w:val="0"/>
          <w:color w:val="2D3748"/>
          <w:sz w:val="21"/>
        </w:rPr>
        <w:t>Scan Record Initialization:</w:t>
      </w:r>
      <w:r>
        <w:rPr>
          <w:rFonts w:ascii="Calibri" w:hAnsi="Calibri"/>
          <w:b w:val="0"/>
          <w:i w:val="0"/>
          <w:color w:val="2D3748"/>
          <w:sz w:val="21"/>
        </w:rPr>
        <w:t xml:space="preserve"> A unique UUIDv4 </w:t>
      </w:r>
      <w:r>
        <w:rPr>
          <w:rFonts w:ascii="Consolas" w:hAnsi="Consolas"/>
          <w:b w:val="0"/>
          <w:i w:val="0"/>
          <w:color w:val="2C5282"/>
          <w:sz w:val="19"/>
        </w:rPr>
        <w:t>scanId</w:t>
      </w:r>
      <w:r>
        <w:rPr>
          <w:rFonts w:ascii="Calibri" w:hAnsi="Calibri"/>
          <w:b w:val="0"/>
          <w:i w:val="0"/>
          <w:color w:val="2D3748"/>
          <w:sz w:val="21"/>
        </w:rPr>
        <w:t xml:space="preserve"> is generated, and a </w:t>
      </w:r>
      <w:r>
        <w:rPr>
          <w:rFonts w:ascii="Consolas" w:hAnsi="Consolas"/>
          <w:b w:val="0"/>
          <w:i w:val="0"/>
          <w:color w:val="2C5282"/>
          <w:sz w:val="19"/>
        </w:rPr>
        <w:t>DomainScan</w:t>
      </w:r>
      <w:r>
        <w:rPr>
          <w:rFonts w:ascii="Calibri" w:hAnsi="Calibri"/>
          <w:b w:val="0"/>
          <w:i w:val="0"/>
          <w:color w:val="2D3748"/>
          <w:sz w:val="21"/>
        </w:rPr>
        <w:t xml:space="preserve"> record is stored with status </w:t>
      </w:r>
      <w:r>
        <w:rPr>
          <w:rFonts w:ascii="Consolas" w:hAnsi="Consolas"/>
          <w:b w:val="0"/>
          <w:i w:val="0"/>
          <w:color w:val="2C5282"/>
          <w:sz w:val="19"/>
        </w:rPr>
        <w:t>running</w:t>
      </w:r>
      <w:r>
        <w:rPr>
          <w:rFonts w:ascii="Calibri" w:hAnsi="Calibri"/>
          <w:b w:val="0"/>
          <w:i w:val="0"/>
          <w:color w:val="2D3748"/>
          <w:sz w:val="21"/>
        </w:rPr>
        <w:t>. The scan ID is immediately returned to the client for polling.</w:t>
      </w:r>
    </w:p>
    <w:p>
      <w:pPr>
        <w:spacing w:before="20" w:after="60" w:line="276" w:lineRule="auto"/>
        <w:ind w:left="360"/>
        <w:jc w:val="left"/>
      </w:pPr>
      <w:r>
        <w:rPr>
          <w:rFonts w:ascii="Calibri" w:hAnsi="Calibri"/>
          <w:b/>
          <w:i w:val="0"/>
          <w:color w:val="2B6CB0"/>
          <w:sz w:val="21"/>
        </w:rPr>
        <w:t xml:space="preserve">5.  </w:t>
      </w:r>
      <w:r>
        <w:rPr>
          <w:rFonts w:ascii="Calibri" w:hAnsi="Calibri"/>
          <w:b/>
          <w:i w:val="0"/>
          <w:color w:val="2D3748"/>
          <w:sz w:val="21"/>
        </w:rPr>
        <w:t>Parallel Worker Dispatch:</w:t>
      </w:r>
      <w:r>
        <w:rPr>
          <w:rFonts w:ascii="Calibri" w:hAnsi="Calibri"/>
          <w:b w:val="0"/>
          <w:i w:val="0"/>
          <w:color w:val="2D3748"/>
          <w:sz w:val="21"/>
        </w:rPr>
        <w:t xml:space="preserve"> The scan orchestrator launches modular workers concurrently using </w:t>
      </w:r>
      <w:r>
        <w:rPr>
          <w:rFonts w:ascii="Consolas" w:hAnsi="Consolas"/>
          <w:b w:val="0"/>
          <w:i w:val="0"/>
          <w:color w:val="2C5282"/>
          <w:sz w:val="19"/>
        </w:rPr>
        <w:t>Promise.allSettled()</w:t>
      </w:r>
      <w:r>
        <w:rPr>
          <w:rFonts w:ascii="Calibri" w:hAnsi="Calibri"/>
          <w:b w:val="0"/>
          <w:i w:val="0"/>
          <w:color w:val="2D3748"/>
          <w:sz w:val="21"/>
        </w:rPr>
        <w:t xml:space="preserve"> under strict timeout constraints.</w:t>
      </w:r>
    </w:p>
    <w:p>
      <w:pPr>
        <w:spacing w:before="20" w:after="60" w:line="276" w:lineRule="auto"/>
        <w:ind w:left="360"/>
        <w:jc w:val="left"/>
      </w:pPr>
      <w:r>
        <w:rPr>
          <w:rFonts w:ascii="Calibri" w:hAnsi="Calibri"/>
          <w:b/>
          <w:i w:val="0"/>
          <w:color w:val="2B6CB0"/>
          <w:sz w:val="21"/>
        </w:rPr>
        <w:t xml:space="preserve">6.  </w:t>
      </w:r>
      <w:r>
        <w:rPr>
          <w:rFonts w:ascii="Calibri" w:hAnsi="Calibri"/>
          <w:b/>
          <w:i w:val="0"/>
          <w:color w:val="2D3748"/>
          <w:sz w:val="21"/>
        </w:rPr>
        <w:t>DNS Intelligence:</w:t>
      </w:r>
      <w:r>
        <w:rPr>
          <w:rFonts w:ascii="Calibri" w:hAnsi="Calibri"/>
          <w:b w:val="0"/>
          <w:i w:val="0"/>
          <w:color w:val="2D3748"/>
          <w:sz w:val="21"/>
        </w:rPr>
        <w:t xml:space="preserve"> Resolves standard record types. TXT records are specifically scanned for SPF (</w:t>
      </w:r>
      <w:r>
        <w:rPr>
          <w:rFonts w:ascii="Consolas" w:hAnsi="Consolas"/>
          <w:b w:val="0"/>
          <w:i w:val="0"/>
          <w:color w:val="2C5282"/>
          <w:sz w:val="19"/>
        </w:rPr>
        <w:t>v=spf1</w:t>
      </w:r>
      <w:r>
        <w:rPr>
          <w:rFonts w:ascii="Calibri" w:hAnsi="Calibri"/>
          <w:b w:val="0"/>
          <w:i w:val="0"/>
          <w:color w:val="2D3748"/>
          <w:sz w:val="21"/>
        </w:rPr>
        <w:t>) and DMARC (</w:t>
      </w:r>
      <w:r>
        <w:rPr>
          <w:rFonts w:ascii="Consolas" w:hAnsi="Consolas"/>
          <w:b w:val="0"/>
          <w:i w:val="0"/>
          <w:color w:val="2C5282"/>
          <w:sz w:val="19"/>
        </w:rPr>
        <w:t>v=DMARC1</w:t>
      </w:r>
      <w:r>
        <w:rPr>
          <w:rFonts w:ascii="Calibri" w:hAnsi="Calibri"/>
          <w:b w:val="0"/>
          <w:i w:val="0"/>
          <w:color w:val="2D3748"/>
          <w:sz w:val="21"/>
        </w:rPr>
        <w:t>) directives. Authoritative nameservers are tested for DNSSEC records (</w:t>
      </w:r>
      <w:r>
        <w:rPr>
          <w:rFonts w:ascii="Consolas" w:hAnsi="Consolas"/>
          <w:b w:val="0"/>
          <w:i w:val="0"/>
          <w:color w:val="2C5282"/>
          <w:sz w:val="19"/>
        </w:rPr>
        <w:t>DNSKEY</w:t>
      </w:r>
      <w:r>
        <w:rPr>
          <w:rFonts w:ascii="Calibri" w:hAnsi="Calibri"/>
          <w:b w:val="0"/>
          <w:i w:val="0"/>
          <w:color w:val="2D3748"/>
          <w:sz w:val="21"/>
        </w:rPr>
        <w:t xml:space="preserve">, </w:t>
      </w:r>
      <w:r>
        <w:rPr>
          <w:rFonts w:ascii="Consolas" w:hAnsi="Consolas"/>
          <w:b w:val="0"/>
          <w:i w:val="0"/>
          <w:color w:val="2C5282"/>
          <w:sz w:val="19"/>
        </w:rPr>
        <w:t>DS</w:t>
      </w:r>
      <w:r>
        <w:rPr>
          <w:rFonts w:ascii="Calibri" w:hAnsi="Calibri"/>
          <w:b w:val="0"/>
          <w:i w:val="0"/>
          <w:color w:val="2D3748"/>
          <w:sz w:val="21"/>
        </w:rPr>
        <w:t>).</w:t>
      </w:r>
    </w:p>
    <w:p>
      <w:pPr>
        <w:spacing w:before="20" w:after="60" w:line="276" w:lineRule="auto"/>
        <w:ind w:left="360"/>
        <w:jc w:val="left"/>
      </w:pPr>
      <w:r>
        <w:rPr>
          <w:rFonts w:ascii="Calibri" w:hAnsi="Calibri"/>
          <w:b/>
          <w:i w:val="0"/>
          <w:color w:val="2B6CB0"/>
          <w:sz w:val="21"/>
        </w:rPr>
        <w:t xml:space="preserve">7.  </w:t>
      </w:r>
      <w:r>
        <w:rPr>
          <w:rFonts w:ascii="Calibri" w:hAnsi="Calibri"/>
          <w:b/>
          <w:i w:val="0"/>
          <w:color w:val="2D3748"/>
          <w:sz w:val="21"/>
        </w:rPr>
        <w:t>Certificate Transparency Mining:</w:t>
      </w:r>
      <w:r>
        <w:rPr>
          <w:rFonts w:ascii="Calibri" w:hAnsi="Calibri"/>
          <w:b w:val="0"/>
          <w:i w:val="0"/>
          <w:color w:val="2D3748"/>
          <w:sz w:val="21"/>
        </w:rPr>
        <w:t xml:space="preserve"> The crt.sh API is queried with an 8-second timeout cap to discover historical and active subdomains registered in public CT logs.</w:t>
      </w:r>
    </w:p>
    <w:p>
      <w:pPr>
        <w:spacing w:before="20" w:after="60" w:line="276" w:lineRule="auto"/>
        <w:ind w:left="360"/>
        <w:jc w:val="left"/>
      </w:pPr>
      <w:r>
        <w:rPr>
          <w:rFonts w:ascii="Calibri" w:hAnsi="Calibri"/>
          <w:b/>
          <w:i w:val="0"/>
          <w:color w:val="2B6CB0"/>
          <w:sz w:val="21"/>
        </w:rPr>
        <w:t xml:space="preserve">8.  </w:t>
      </w:r>
      <w:r>
        <w:rPr>
          <w:rFonts w:ascii="Calibri" w:hAnsi="Calibri"/>
          <w:b/>
          <w:i w:val="0"/>
          <w:color w:val="2D3748"/>
          <w:sz w:val="21"/>
        </w:rPr>
        <w:t>TLS Handshake Inspection:</w:t>
      </w:r>
      <w:r>
        <w:rPr>
          <w:rFonts w:ascii="Calibri" w:hAnsi="Calibri"/>
          <w:b w:val="0"/>
          <w:i w:val="0"/>
          <w:color w:val="2D3748"/>
          <w:sz w:val="21"/>
        </w:rPr>
        <w:t xml:space="preserve"> Initiates a direct TLS handshake on port 443 to extract certificate validity dates, subject alternative names, issuing authorities, cipher suites, and protocol versions.</w:t>
      </w:r>
    </w:p>
    <w:p>
      <w:pPr>
        <w:spacing w:before="20" w:after="60" w:line="276" w:lineRule="auto"/>
        <w:ind w:left="360"/>
        <w:jc w:val="left"/>
      </w:pPr>
      <w:r>
        <w:rPr>
          <w:rFonts w:ascii="Calibri" w:hAnsi="Calibri"/>
          <w:b/>
          <w:i w:val="0"/>
          <w:color w:val="2B6CB0"/>
          <w:sz w:val="21"/>
        </w:rPr>
        <w:t xml:space="preserve">9.  </w:t>
      </w:r>
      <w:r>
        <w:rPr>
          <w:rFonts w:ascii="Calibri" w:hAnsi="Calibri"/>
          <w:b/>
          <w:i w:val="0"/>
          <w:color w:val="2D3748"/>
          <w:sz w:val="21"/>
        </w:rPr>
        <w:t>Safe HTTP Transport Probe:</w:t>
      </w:r>
      <w:r>
        <w:rPr>
          <w:rFonts w:ascii="Calibri" w:hAnsi="Calibri"/>
          <w:b w:val="0"/>
          <w:i w:val="0"/>
          <w:color w:val="2D3748"/>
          <w:sz w:val="21"/>
        </w:rPr>
        <w:t xml:space="preserve"> Sends bounded HTTP requests via </w:t>
      </w:r>
      <w:r>
        <w:rPr>
          <w:rFonts w:ascii="Consolas" w:hAnsi="Consolas"/>
          <w:b w:val="0"/>
          <w:i w:val="0"/>
          <w:color w:val="2C5282"/>
          <w:sz w:val="19"/>
        </w:rPr>
        <w:t>safeHttp.ts</w:t>
      </w:r>
      <w:r>
        <w:rPr>
          <w:rFonts w:ascii="Calibri" w:hAnsi="Calibri"/>
          <w:b w:val="0"/>
          <w:i w:val="0"/>
          <w:color w:val="2D3748"/>
          <w:sz w:val="21"/>
        </w:rPr>
        <w:t xml:space="preserve"> to inspect HTTP-to-HTTPS redirect status and evaluate response headers (</w:t>
      </w:r>
      <w:r>
        <w:rPr>
          <w:rFonts w:ascii="Consolas" w:hAnsi="Consolas"/>
          <w:b w:val="0"/>
          <w:i w:val="0"/>
          <w:color w:val="2C5282"/>
          <w:sz w:val="19"/>
        </w:rPr>
        <w:t>Strict-Transport-Security</w:t>
      </w:r>
      <w:r>
        <w:rPr>
          <w:rFonts w:ascii="Calibri" w:hAnsi="Calibri"/>
          <w:b w:val="0"/>
          <w:i w:val="0"/>
          <w:color w:val="2D3748"/>
          <w:sz w:val="21"/>
        </w:rPr>
        <w:t xml:space="preserve">, </w:t>
      </w:r>
      <w:r>
        <w:rPr>
          <w:rFonts w:ascii="Consolas" w:hAnsi="Consolas"/>
          <w:b w:val="0"/>
          <w:i w:val="0"/>
          <w:color w:val="2C5282"/>
          <w:sz w:val="19"/>
        </w:rPr>
        <w:t>Content-Security-Policy</w:t>
      </w:r>
      <w:r>
        <w:rPr>
          <w:rFonts w:ascii="Calibri" w:hAnsi="Calibri"/>
          <w:b w:val="0"/>
          <w:i w:val="0"/>
          <w:color w:val="2D3748"/>
          <w:sz w:val="21"/>
        </w:rPr>
        <w:t xml:space="preserve">, </w:t>
      </w:r>
      <w:r>
        <w:rPr>
          <w:rFonts w:ascii="Consolas" w:hAnsi="Consolas"/>
          <w:b w:val="0"/>
          <w:i w:val="0"/>
          <w:color w:val="2C5282"/>
          <w:sz w:val="19"/>
        </w:rPr>
        <w:t>X-Content-Type-Options</w:t>
      </w:r>
      <w:r>
        <w:rPr>
          <w:rFonts w:ascii="Calibri" w:hAnsi="Calibri"/>
          <w:b w:val="0"/>
          <w:i w:val="0"/>
          <w:color w:val="2D3748"/>
          <w:sz w:val="21"/>
        </w:rPr>
        <w:t xml:space="preserve">, </w:t>
      </w:r>
      <w:r>
        <w:rPr>
          <w:rFonts w:ascii="Consolas" w:hAnsi="Consolas"/>
          <w:b w:val="0"/>
          <w:i w:val="0"/>
          <w:color w:val="2C5282"/>
          <w:sz w:val="19"/>
        </w:rPr>
        <w:t>X-Frame-Options</w:t>
      </w:r>
      <w:r>
        <w:rPr>
          <w:rFonts w:ascii="Calibri" w:hAnsi="Calibri"/>
          <w:b w:val="0"/>
          <w:i w:val="0"/>
          <w:color w:val="2D3748"/>
          <w:sz w:val="21"/>
        </w:rPr>
        <w:t xml:space="preserve">, </w:t>
      </w:r>
      <w:r>
        <w:rPr>
          <w:rFonts w:ascii="Consolas" w:hAnsi="Consolas"/>
          <w:b w:val="0"/>
          <w:i w:val="0"/>
          <w:color w:val="2C5282"/>
          <w:sz w:val="19"/>
        </w:rPr>
        <w:t>Referrer-Policy</w:t>
      </w:r>
      <w:r>
        <w:rPr>
          <w:rFonts w:ascii="Calibri" w:hAnsi="Calibri"/>
          <w:b w:val="0"/>
          <w:i w:val="0"/>
          <w:color w:val="2D3748"/>
          <w:sz w:val="21"/>
        </w:rPr>
        <w:t>).</w:t>
      </w:r>
    </w:p>
    <w:p>
      <w:pPr>
        <w:spacing w:before="20" w:after="60" w:line="276" w:lineRule="auto"/>
        <w:ind w:left="360"/>
        <w:jc w:val="left"/>
      </w:pPr>
      <w:r>
        <w:rPr>
          <w:rFonts w:ascii="Calibri" w:hAnsi="Calibri"/>
          <w:b/>
          <w:i w:val="0"/>
          <w:color w:val="2B6CB0"/>
          <w:sz w:val="21"/>
        </w:rPr>
        <w:t xml:space="preserve">10.  </w:t>
      </w:r>
      <w:r>
        <w:rPr>
          <w:rFonts w:ascii="Calibri" w:hAnsi="Calibri"/>
          <w:b/>
          <w:i w:val="0"/>
          <w:color w:val="2D3748"/>
          <w:sz w:val="21"/>
        </w:rPr>
        <w:t>BGP &amp; IP Intelligence:</w:t>
      </w:r>
      <w:r>
        <w:rPr>
          <w:rFonts w:ascii="Calibri" w:hAnsi="Calibri"/>
          <w:b w:val="0"/>
          <w:i w:val="0"/>
          <w:color w:val="2D3748"/>
          <w:sz w:val="21"/>
        </w:rPr>
        <w:t xml:space="preserve"> Unique IP addresses are queried against geolocation and BGP routing databases to identify Autonomous System Numbers (ASNs), hosting organizations, and geographic coordinates.</w:t>
      </w:r>
    </w:p>
    <w:p>
      <w:pPr>
        <w:spacing w:before="20" w:after="60" w:line="276" w:lineRule="auto"/>
        <w:ind w:left="360"/>
        <w:jc w:val="left"/>
      </w:pPr>
      <w:r>
        <w:rPr>
          <w:rFonts w:ascii="Calibri" w:hAnsi="Calibri"/>
          <w:b/>
          <w:i w:val="0"/>
          <w:color w:val="2B6CB0"/>
          <w:sz w:val="21"/>
        </w:rPr>
        <w:t xml:space="preserve">11.  </w:t>
      </w:r>
      <w:r>
        <w:rPr>
          <w:rFonts w:ascii="Calibri" w:hAnsi="Calibri"/>
          <w:b/>
          <w:i w:val="0"/>
          <w:color w:val="2D3748"/>
          <w:sz w:val="21"/>
        </w:rPr>
        <w:t>Passive Exposure Enrichment:</w:t>
      </w:r>
      <w:r>
        <w:rPr>
          <w:rFonts w:ascii="Calibri" w:hAnsi="Calibri"/>
          <w:b w:val="0"/>
          <w:i w:val="0"/>
          <w:color w:val="2D3748"/>
          <w:sz w:val="21"/>
        </w:rPr>
        <w:t xml:space="preserve"> IP addresses are cross-referenced with the Shodan InternetDB to harvest publicly exposed listening ports, Common Platform Enumerations (CPEs), and verified CVE vulnerability tags.</w:t>
      </w:r>
    </w:p>
    <w:p>
      <w:pPr>
        <w:spacing w:before="20" w:after="60" w:line="276" w:lineRule="auto"/>
        <w:ind w:left="360"/>
        <w:jc w:val="left"/>
      </w:pPr>
      <w:r>
        <w:rPr>
          <w:rFonts w:ascii="Calibri" w:hAnsi="Calibri"/>
          <w:b/>
          <w:i w:val="0"/>
          <w:color w:val="2B6CB0"/>
          <w:sz w:val="21"/>
        </w:rPr>
        <w:t xml:space="preserve">12.  </w:t>
      </w:r>
      <w:r>
        <w:rPr>
          <w:rFonts w:ascii="Calibri" w:hAnsi="Calibri"/>
          <w:b/>
          <w:i w:val="0"/>
          <w:color w:val="2D3748"/>
          <w:sz w:val="21"/>
        </w:rPr>
        <w:t>Asset Normalization:</w:t>
      </w:r>
      <w:r>
        <w:rPr>
          <w:rFonts w:ascii="Calibri" w:hAnsi="Calibri"/>
          <w:b w:val="0"/>
          <w:i w:val="0"/>
          <w:color w:val="2D3748"/>
          <w:sz w:val="21"/>
        </w:rPr>
        <w:t xml:space="preserve"> Raw intelligence records are mapped into typed </w:t>
      </w:r>
      <w:r>
        <w:rPr>
          <w:rFonts w:ascii="Consolas" w:hAnsi="Consolas"/>
          <w:b w:val="0"/>
          <w:i w:val="0"/>
          <w:color w:val="2C5282"/>
          <w:sz w:val="19"/>
        </w:rPr>
        <w:t>Asset</w:t>
      </w:r>
      <w:r>
        <w:rPr>
          <w:rFonts w:ascii="Calibri" w:hAnsi="Calibri"/>
          <w:b w:val="0"/>
          <w:i w:val="0"/>
          <w:color w:val="2D3748"/>
          <w:sz w:val="21"/>
        </w:rPr>
        <w:t xml:space="preserve"> objects. Duplicate values (e.g., duplicate IP addresses or ASNs) are merged into single canonical nodes.</w:t>
      </w:r>
    </w:p>
    <w:p>
      <w:pPr>
        <w:spacing w:before="20" w:after="60" w:line="276" w:lineRule="auto"/>
        <w:ind w:left="360"/>
        <w:jc w:val="left"/>
      </w:pPr>
      <w:r>
        <w:rPr>
          <w:rFonts w:ascii="Calibri" w:hAnsi="Calibri"/>
          <w:b/>
          <w:i w:val="0"/>
          <w:color w:val="2B6CB0"/>
          <w:sz w:val="21"/>
        </w:rPr>
        <w:t xml:space="preserve">13.  </w:t>
      </w:r>
      <w:r>
        <w:rPr>
          <w:rFonts w:ascii="Calibri" w:hAnsi="Calibri"/>
          <w:b/>
          <w:i w:val="0"/>
          <w:color w:val="2D3748"/>
          <w:sz w:val="21"/>
        </w:rPr>
        <w:t>Relationship Correlation:</w:t>
      </w:r>
      <w:r>
        <w:rPr>
          <w:rFonts w:ascii="Calibri" w:hAnsi="Calibri"/>
          <w:b w:val="0"/>
          <w:i w:val="0"/>
          <w:color w:val="2D3748"/>
          <w:sz w:val="21"/>
        </w:rPr>
        <w:t xml:space="preserve"> Directed relationships are established between assets, linking domains to IPs via </w:t>
      </w:r>
      <w:r>
        <w:rPr>
          <w:rFonts w:ascii="Consolas" w:hAnsi="Consolas"/>
          <w:b w:val="0"/>
          <w:i w:val="0"/>
          <w:color w:val="2C5282"/>
          <w:sz w:val="19"/>
        </w:rPr>
        <w:t>resolves_to</w:t>
      </w:r>
      <w:r>
        <w:rPr>
          <w:rFonts w:ascii="Calibri" w:hAnsi="Calibri"/>
          <w:b w:val="0"/>
          <w:i w:val="0"/>
          <w:color w:val="2D3748"/>
          <w:sz w:val="21"/>
        </w:rPr>
        <w:t xml:space="preserve">, IPs to ASNs via </w:t>
      </w:r>
      <w:r>
        <w:rPr>
          <w:rFonts w:ascii="Consolas" w:hAnsi="Consolas"/>
          <w:b w:val="0"/>
          <w:i w:val="0"/>
          <w:color w:val="2C5282"/>
          <w:sz w:val="19"/>
        </w:rPr>
        <w:t>belongs_to_asn</w:t>
      </w:r>
      <w:r>
        <w:rPr>
          <w:rFonts w:ascii="Calibri" w:hAnsi="Calibri"/>
          <w:b w:val="0"/>
          <w:i w:val="0"/>
          <w:color w:val="2D3748"/>
          <w:sz w:val="21"/>
        </w:rPr>
        <w:t xml:space="preserve">, and domains to certificates via </w:t>
      </w:r>
      <w:r>
        <w:rPr>
          <w:rFonts w:ascii="Consolas" w:hAnsi="Consolas"/>
          <w:b w:val="0"/>
          <w:i w:val="0"/>
          <w:color w:val="2C5282"/>
          <w:sz w:val="19"/>
        </w:rPr>
        <w:t>secured_by</w:t>
      </w:r>
      <w:r>
        <w:rPr>
          <w:rFonts w:ascii="Calibri" w:hAnsi="Calibri"/>
          <w:b w:val="0"/>
          <w:i w:val="0"/>
          <w:color w:val="2D3748"/>
          <w:sz w:val="21"/>
        </w:rPr>
        <w:t>.</w:t>
      </w:r>
    </w:p>
    <w:p>
      <w:pPr>
        <w:spacing w:before="20" w:after="60" w:line="276" w:lineRule="auto"/>
        <w:ind w:left="360"/>
        <w:jc w:val="left"/>
      </w:pPr>
      <w:r>
        <w:rPr>
          <w:rFonts w:ascii="Calibri" w:hAnsi="Calibri"/>
          <w:b/>
          <w:i w:val="0"/>
          <w:color w:val="2B6CB0"/>
          <w:sz w:val="21"/>
        </w:rPr>
        <w:t xml:space="preserve">14.  </w:t>
      </w:r>
      <w:r>
        <w:rPr>
          <w:rFonts w:ascii="Calibri" w:hAnsi="Calibri"/>
          <w:b/>
          <w:i w:val="0"/>
          <w:color w:val="2D3748"/>
          <w:sz w:val="21"/>
        </w:rPr>
        <w:t>Finding Rule Engine:</w:t>
      </w:r>
      <w:r>
        <w:rPr>
          <w:rFonts w:ascii="Calibri" w:hAnsi="Calibri"/>
          <w:b w:val="0"/>
          <w:i w:val="0"/>
          <w:color w:val="2D3748"/>
          <w:sz w:val="21"/>
        </w:rPr>
        <w:t xml:space="preserve"> The normalized scan is evaluated by 21 deterministic finding rules in </w:t>
      </w:r>
      <w:r>
        <w:rPr>
          <w:rFonts w:ascii="Consolas" w:hAnsi="Consolas"/>
          <w:b w:val="0"/>
          <w:i w:val="0"/>
          <w:color w:val="2C5282"/>
          <w:sz w:val="19"/>
        </w:rPr>
        <w:t>findings.ts</w:t>
      </w:r>
      <w:r>
        <w:rPr>
          <w:rFonts w:ascii="Calibri" w:hAnsi="Calibri"/>
          <w:b w:val="0"/>
          <w:i w:val="0"/>
          <w:color w:val="2D3748"/>
          <w:sz w:val="21"/>
        </w:rPr>
        <w:t>. Findings are assigned standardized severities and enriched with 10-section analytical write-ups.</w:t>
      </w:r>
    </w:p>
    <w:p>
      <w:pPr>
        <w:spacing w:before="20" w:after="60" w:line="276" w:lineRule="auto"/>
        <w:ind w:left="360"/>
        <w:jc w:val="left"/>
      </w:pPr>
      <w:r>
        <w:rPr>
          <w:rFonts w:ascii="Calibri" w:hAnsi="Calibri"/>
          <w:b/>
          <w:i w:val="0"/>
          <w:color w:val="2B6CB0"/>
          <w:sz w:val="21"/>
        </w:rPr>
        <w:t xml:space="preserve">15.  </w:t>
      </w:r>
      <w:r>
        <w:rPr>
          <w:rFonts w:ascii="Calibri" w:hAnsi="Calibri"/>
          <w:b/>
          <w:i w:val="0"/>
          <w:color w:val="2D3748"/>
          <w:sz w:val="21"/>
        </w:rPr>
        <w:t>Hygiene Score Calculation:</w:t>
      </w:r>
      <w:r>
        <w:rPr>
          <w:rFonts w:ascii="Calibri" w:hAnsi="Calibri"/>
          <w:b w:val="0"/>
          <w:i w:val="0"/>
          <w:color w:val="2D3748"/>
          <w:sz w:val="21"/>
        </w:rPr>
        <w:t xml:space="preserve"> The v1 scoring engine computes the External Hygiene Score (0–100) across six dimensions, strictly adhering to epistemic safety.</w:t>
      </w:r>
    </w:p>
    <w:p>
      <w:pPr>
        <w:spacing w:before="20" w:after="60" w:line="276" w:lineRule="auto"/>
        <w:ind w:left="360"/>
        <w:jc w:val="left"/>
      </w:pPr>
      <w:r>
        <w:rPr>
          <w:rFonts w:ascii="Calibri" w:hAnsi="Calibri"/>
          <w:b/>
          <w:i w:val="0"/>
          <w:color w:val="2B6CB0"/>
          <w:sz w:val="21"/>
        </w:rPr>
        <w:t xml:space="preserve">16.  </w:t>
      </w:r>
      <w:r>
        <w:rPr>
          <w:rFonts w:ascii="Calibri" w:hAnsi="Calibri"/>
          <w:b/>
          <w:i w:val="0"/>
          <w:color w:val="2D3748"/>
          <w:sz w:val="21"/>
        </w:rPr>
        <w:t>Scan Finalization:</w:t>
      </w:r>
      <w:r>
        <w:rPr>
          <w:rFonts w:ascii="Calibri" w:hAnsi="Calibri"/>
          <w:b w:val="0"/>
          <w:i w:val="0"/>
          <w:color w:val="2D3748"/>
          <w:sz w:val="21"/>
        </w:rPr>
        <w:t xml:space="preserve"> The complete scan payload—containing assets, relationships, findings, score breakdown, completeness metrics, and warnings—is committed to the database and marked </w:t>
      </w:r>
      <w:r>
        <w:rPr>
          <w:rFonts w:ascii="Consolas" w:hAnsi="Consolas"/>
          <w:b w:val="0"/>
          <w:i w:val="0"/>
          <w:color w:val="2C5282"/>
          <w:sz w:val="19"/>
        </w:rPr>
        <w:t>completed</w:t>
      </w:r>
      <w:r>
        <w:rPr>
          <w:rFonts w:ascii="Calibri" w:hAnsi="Calibri"/>
          <w:b w:val="0"/>
          <w:i w:val="0"/>
          <w:color w:val="2D3748"/>
          <w:sz w:val="21"/>
        </w:rPr>
        <w:t>.</w:t>
      </w:r>
    </w:p>
    <w:p>
      <w:pPr>
        <w:spacing w:before="20" w:after="60" w:line="276" w:lineRule="auto"/>
        <w:ind w:left="360"/>
        <w:jc w:val="left"/>
      </w:pPr>
      <w:r>
        <w:rPr>
          <w:rFonts w:ascii="Calibri" w:hAnsi="Calibri"/>
          <w:b/>
          <w:i w:val="0"/>
          <w:color w:val="2B6CB0"/>
          <w:sz w:val="21"/>
        </w:rPr>
        <w:t xml:space="preserve">17.  </w:t>
      </w:r>
      <w:r>
        <w:rPr>
          <w:rFonts w:ascii="Calibri" w:hAnsi="Calibri"/>
          <w:b/>
          <w:i w:val="0"/>
          <w:color w:val="2D3748"/>
          <w:sz w:val="21"/>
        </w:rPr>
        <w:t>Client Rendering:</w:t>
      </w:r>
      <w:r>
        <w:rPr>
          <w:rFonts w:ascii="Calibri" w:hAnsi="Calibri"/>
          <w:b w:val="0"/>
          <w:i w:val="0"/>
          <w:color w:val="2D3748"/>
          <w:sz w:val="21"/>
        </w:rPr>
        <w:t xml:space="preserve"> The React interface polls the scan record, transitions out of its loading state, and renders the executive summary, asset graph, map, and findings panels.</w:t>
      </w:r>
    </w:p>
    <w:p>
      <w:pPr>
        <w:spacing w:before="120" w:after="120" w:line="300" w:lineRule="auto"/>
        <w:jc w:val="center"/>
      </w:pPr>
      <w:r>
        <w:rPr>
          <w:color w:val="E2E8F0"/>
          <w:sz w:val="20"/>
        </w:rPr>
        <w:t>―――――――――――――――――――――――――――――――――――――――――――――――――――――――</w:t>
      </w:r>
    </w:p>
    <w:p>
      <w:pPr>
        <w:keepNext/>
        <w:spacing w:before="280" w:after="80" w:line="300" w:lineRule="auto"/>
        <w:jc w:val="left"/>
      </w:pPr>
      <w:r>
        <w:rPr>
          <w:rFonts w:ascii="Calibri" w:hAnsi="Calibri"/>
          <w:b/>
          <w:i w:val="0"/>
          <w:color w:val="2B6CB0"/>
          <w:sz w:val="30"/>
        </w:rPr>
        <w:t>11. IMPLEMENTATION</w:t>
      </w:r>
    </w:p>
    <w:p>
      <w:pPr>
        <w:keepNext/>
        <w:spacing w:before="200" w:after="60" w:line="300" w:lineRule="auto"/>
        <w:jc w:val="left"/>
      </w:pPr>
      <w:r>
        <w:rPr>
          <w:rFonts w:ascii="Calibri" w:hAnsi="Calibri"/>
          <w:b/>
          <w:i w:val="0"/>
          <w:color w:val="2C5282"/>
          <w:sz w:val="25"/>
        </w:rPr>
        <w:t>11.1 Backend Implementation Details</w:t>
      </w:r>
    </w:p>
    <w:p>
      <w:pPr>
        <w:spacing w:before="40" w:after="120" w:line="300" w:lineRule="auto"/>
        <w:jc w:val="both"/>
      </w:pPr>
      <w:r>
        <w:rPr>
          <w:rFonts w:ascii="Calibri" w:hAnsi="Calibri"/>
          <w:b w:val="0"/>
          <w:i w:val="0"/>
          <w:color w:val="2D3748"/>
          <w:sz w:val="22"/>
        </w:rPr>
        <w:t>The backend is implemented as a modular Node.js application written in TypeScript:</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Server-Side Request Forgery Guard (`server/src/utils/publicResolution.ts`):</w:t>
      </w:r>
      <w:r>
        <w:rPr>
          <w:rFonts w:ascii="Calibri" w:hAnsi="Calibri"/>
          <w:b w:val="0"/>
          <w:i w:val="0"/>
          <w:color w:val="2D3748"/>
          <w:sz w:val="21"/>
        </w:rPr>
        <w:t xml:space="preserve"> Validates hostnames using </w:t>
      </w:r>
      <w:r>
        <w:rPr>
          <w:rFonts w:ascii="Consolas" w:hAnsi="Consolas"/>
          <w:b w:val="0"/>
          <w:i w:val="0"/>
          <w:color w:val="2C5282"/>
          <w:sz w:val="19"/>
        </w:rPr>
        <w:t>dns.promises.resolve()</w:t>
      </w:r>
      <w:r>
        <w:rPr>
          <w:rFonts w:ascii="Calibri" w:hAnsi="Calibri"/>
          <w:b w:val="0"/>
          <w:i w:val="0"/>
          <w:color w:val="2D3748"/>
          <w:sz w:val="21"/>
        </w:rPr>
        <w:t>. It validates resolved IPv4 and IPv6 addresses against comprehensive non-routable CIDR blocks:</w:t>
      </w:r>
    </w:p>
    <w:p>
      <w:pPr>
        <w:spacing w:before="20" w:after="60" w:line="276" w:lineRule="auto"/>
        <w:ind w:left="360"/>
        <w:jc w:val="left"/>
      </w:pPr>
      <w:r>
        <w:rPr>
          <w:rFonts w:ascii="Calibri" w:hAnsi="Calibri"/>
          <w:b/>
          <w:i w:val="0"/>
          <w:color w:val="2B6CB0"/>
          <w:sz w:val="18"/>
        </w:rPr>
        <w:t xml:space="preserve">▪  </w:t>
      </w:r>
      <w:r>
        <w:rPr>
          <w:rFonts w:ascii="Consolas" w:hAnsi="Consolas"/>
          <w:b w:val="0"/>
          <w:i w:val="0"/>
          <w:color w:val="2C5282"/>
          <w:sz w:val="19"/>
        </w:rPr>
        <w:t>127.0.0.0/8</w:t>
      </w:r>
      <w:r>
        <w:rPr>
          <w:rFonts w:ascii="Calibri" w:hAnsi="Calibri"/>
          <w:b w:val="0"/>
          <w:i w:val="0"/>
          <w:color w:val="2D3748"/>
          <w:sz w:val="21"/>
        </w:rPr>
        <w:t xml:space="preserve"> (IPv4 Loopback) and </w:t>
      </w:r>
      <w:r>
        <w:rPr>
          <w:rFonts w:ascii="Consolas" w:hAnsi="Consolas"/>
          <w:b w:val="0"/>
          <w:i w:val="0"/>
          <w:color w:val="2C5282"/>
          <w:sz w:val="19"/>
        </w:rPr>
        <w:t>::1</w:t>
      </w:r>
      <w:r>
        <w:rPr>
          <w:rFonts w:ascii="Calibri" w:hAnsi="Calibri"/>
          <w:b w:val="0"/>
          <w:i w:val="0"/>
          <w:color w:val="2D3748"/>
          <w:sz w:val="21"/>
        </w:rPr>
        <w:t xml:space="preserve"> (IPv6 Loopback)</w:t>
      </w:r>
    </w:p>
    <w:p>
      <w:pPr>
        <w:spacing w:before="20" w:after="60" w:line="276" w:lineRule="auto"/>
        <w:ind w:left="360"/>
        <w:jc w:val="left"/>
      </w:pPr>
      <w:r>
        <w:rPr>
          <w:rFonts w:ascii="Calibri" w:hAnsi="Calibri"/>
          <w:b/>
          <w:i w:val="0"/>
          <w:color w:val="2B6CB0"/>
          <w:sz w:val="18"/>
        </w:rPr>
        <w:t xml:space="preserve">▪  </w:t>
      </w:r>
      <w:r>
        <w:rPr>
          <w:rFonts w:ascii="Consolas" w:hAnsi="Consolas"/>
          <w:b w:val="0"/>
          <w:i w:val="0"/>
          <w:color w:val="2C5282"/>
          <w:sz w:val="19"/>
        </w:rPr>
        <w:t>10.0.0.0/8</w:t>
      </w:r>
      <w:r>
        <w:rPr>
          <w:rFonts w:ascii="Calibri" w:hAnsi="Calibri"/>
          <w:b w:val="0"/>
          <w:i w:val="0"/>
          <w:color w:val="2D3748"/>
          <w:sz w:val="21"/>
        </w:rPr>
        <w:t xml:space="preserve">, </w:t>
      </w:r>
      <w:r>
        <w:rPr>
          <w:rFonts w:ascii="Consolas" w:hAnsi="Consolas"/>
          <w:b w:val="0"/>
          <w:i w:val="0"/>
          <w:color w:val="2C5282"/>
          <w:sz w:val="19"/>
        </w:rPr>
        <w:t>172.16.0.0/12</w:t>
      </w:r>
      <w:r>
        <w:rPr>
          <w:rFonts w:ascii="Calibri" w:hAnsi="Calibri"/>
          <w:b w:val="0"/>
          <w:i w:val="0"/>
          <w:color w:val="2D3748"/>
          <w:sz w:val="21"/>
        </w:rPr>
        <w:t xml:space="preserve">, </w:t>
      </w:r>
      <w:r>
        <w:rPr>
          <w:rFonts w:ascii="Consolas" w:hAnsi="Consolas"/>
          <w:b w:val="0"/>
          <w:i w:val="0"/>
          <w:color w:val="2C5282"/>
          <w:sz w:val="19"/>
        </w:rPr>
        <w:t>192.168.0.0/16</w:t>
      </w:r>
      <w:r>
        <w:rPr>
          <w:rFonts w:ascii="Calibri" w:hAnsi="Calibri"/>
          <w:b w:val="0"/>
          <w:i w:val="0"/>
          <w:color w:val="2D3748"/>
          <w:sz w:val="21"/>
        </w:rPr>
        <w:t xml:space="preserve"> (Private Intranets)</w:t>
      </w:r>
    </w:p>
    <w:p>
      <w:pPr>
        <w:spacing w:before="20" w:after="60" w:line="276" w:lineRule="auto"/>
        <w:ind w:left="360"/>
        <w:jc w:val="left"/>
      </w:pPr>
      <w:r>
        <w:rPr>
          <w:rFonts w:ascii="Calibri" w:hAnsi="Calibri"/>
          <w:b/>
          <w:i w:val="0"/>
          <w:color w:val="2B6CB0"/>
          <w:sz w:val="18"/>
        </w:rPr>
        <w:t xml:space="preserve">▪  </w:t>
      </w:r>
      <w:r>
        <w:rPr>
          <w:rFonts w:ascii="Consolas" w:hAnsi="Consolas"/>
          <w:b w:val="0"/>
          <w:i w:val="0"/>
          <w:color w:val="2C5282"/>
          <w:sz w:val="19"/>
        </w:rPr>
        <w:t>169.254.0.0/16</w:t>
      </w:r>
      <w:r>
        <w:rPr>
          <w:rFonts w:ascii="Calibri" w:hAnsi="Calibri"/>
          <w:b w:val="0"/>
          <w:i w:val="0"/>
          <w:color w:val="2D3748"/>
          <w:sz w:val="21"/>
        </w:rPr>
        <w:t xml:space="preserve"> and </w:t>
      </w:r>
      <w:r>
        <w:rPr>
          <w:rFonts w:ascii="Consolas" w:hAnsi="Consolas"/>
          <w:b w:val="0"/>
          <w:i w:val="0"/>
          <w:color w:val="2C5282"/>
          <w:sz w:val="19"/>
        </w:rPr>
        <w:t>fe80::/10</w:t>
      </w:r>
      <w:r>
        <w:rPr>
          <w:rFonts w:ascii="Calibri" w:hAnsi="Calibri"/>
          <w:b w:val="0"/>
          <w:i w:val="0"/>
          <w:color w:val="2D3748"/>
          <w:sz w:val="21"/>
        </w:rPr>
        <w:t xml:space="preserve"> (Link-Local &amp; Cloud Metadata e.g. AWS </w:t>
      </w:r>
      <w:r>
        <w:rPr>
          <w:rFonts w:ascii="Consolas" w:hAnsi="Consolas"/>
          <w:b w:val="0"/>
          <w:i w:val="0"/>
          <w:color w:val="2C5282"/>
          <w:sz w:val="19"/>
        </w:rPr>
        <w:t>169.254.169.254</w:t>
      </w:r>
      <w:r>
        <w:rPr>
          <w:rFonts w:ascii="Calibri" w:hAnsi="Calibri"/>
          <w:b w:val="0"/>
          <w:i w:val="0"/>
          <w:color w:val="2D3748"/>
          <w:sz w:val="21"/>
        </w:rPr>
        <w:t>)</w:t>
      </w:r>
    </w:p>
    <w:p>
      <w:pPr>
        <w:spacing w:before="20" w:after="60" w:line="276" w:lineRule="auto"/>
        <w:ind w:left="360"/>
        <w:jc w:val="left"/>
      </w:pPr>
      <w:r>
        <w:rPr>
          <w:rFonts w:ascii="Calibri" w:hAnsi="Calibri"/>
          <w:b/>
          <w:i w:val="0"/>
          <w:color w:val="2B6CB0"/>
          <w:sz w:val="18"/>
        </w:rPr>
        <w:t xml:space="preserve">▪  </w:t>
      </w:r>
      <w:r>
        <w:rPr>
          <w:rFonts w:ascii="Consolas" w:hAnsi="Consolas"/>
          <w:b w:val="0"/>
          <w:i w:val="0"/>
          <w:color w:val="2C5282"/>
          <w:sz w:val="19"/>
        </w:rPr>
        <w:t>100.64.0.0/10</w:t>
      </w:r>
      <w:r>
        <w:rPr>
          <w:rFonts w:ascii="Calibri" w:hAnsi="Calibri"/>
          <w:b w:val="0"/>
          <w:i w:val="0"/>
          <w:color w:val="2D3748"/>
          <w:sz w:val="21"/>
        </w:rPr>
        <w:t xml:space="preserve"> (Carrier-Grade NAT)</w:t>
      </w:r>
    </w:p>
    <w:p>
      <w:pPr>
        <w:spacing w:before="20" w:after="60" w:line="276" w:lineRule="auto"/>
        <w:ind w:left="360"/>
        <w:jc w:val="left"/>
      </w:pPr>
      <w:r>
        <w:rPr>
          <w:rFonts w:ascii="Calibri" w:hAnsi="Calibri"/>
          <w:b/>
          <w:i w:val="0"/>
          <w:color w:val="2B6CB0"/>
          <w:sz w:val="18"/>
        </w:rPr>
        <w:t xml:space="preserve">▪  </w:t>
      </w:r>
      <w:r>
        <w:rPr>
          <w:rFonts w:ascii="Consolas" w:hAnsi="Consolas"/>
          <w:b w:val="0"/>
          <w:i w:val="0"/>
          <w:color w:val="2C5282"/>
          <w:sz w:val="19"/>
        </w:rPr>
        <w:t>224.0.0.0/4</w:t>
      </w:r>
      <w:r>
        <w:rPr>
          <w:rFonts w:ascii="Calibri" w:hAnsi="Calibri"/>
          <w:b w:val="0"/>
          <w:i w:val="0"/>
          <w:color w:val="2D3748"/>
          <w:sz w:val="21"/>
        </w:rPr>
        <w:t xml:space="preserve"> and </w:t>
      </w:r>
      <w:r>
        <w:rPr>
          <w:rFonts w:ascii="Consolas" w:hAnsi="Consolas"/>
          <w:b w:val="0"/>
          <w:i w:val="0"/>
          <w:color w:val="2C5282"/>
          <w:sz w:val="19"/>
        </w:rPr>
        <w:t>240.0.0.0/4</w:t>
      </w:r>
      <w:r>
        <w:rPr>
          <w:rFonts w:ascii="Calibri" w:hAnsi="Calibri"/>
          <w:b w:val="0"/>
          <w:i w:val="0"/>
          <w:color w:val="2D3748"/>
          <w:sz w:val="21"/>
        </w:rPr>
        <w:t xml:space="preserve"> (Multicast and Reserved)</w:t>
      </w:r>
    </w:p>
    <w:p>
      <w:pPr>
        <w:spacing w:before="20" w:after="60" w:line="276" w:lineRule="auto"/>
        <w:ind w:left="360"/>
        <w:jc w:val="left"/>
      </w:pPr>
      <w:r>
        <w:rPr>
          <w:rFonts w:ascii="Calibri" w:hAnsi="Calibri"/>
          <w:b/>
          <w:i w:val="0"/>
          <w:color w:val="2B6CB0"/>
          <w:sz w:val="18"/>
        </w:rPr>
        <w:t xml:space="preserve">▪  </w:t>
      </w:r>
      <w:r>
        <w:rPr>
          <w:rFonts w:ascii="Consolas" w:hAnsi="Consolas"/>
          <w:b w:val="0"/>
          <w:i w:val="0"/>
          <w:color w:val="2C5282"/>
          <w:sz w:val="19"/>
        </w:rPr>
        <w:t>::ffff:0:0/96</w:t>
      </w:r>
      <w:r>
        <w:rPr>
          <w:rFonts w:ascii="Calibri" w:hAnsi="Calibri"/>
          <w:b w:val="0"/>
          <w:i w:val="0"/>
          <w:color w:val="2D3748"/>
          <w:sz w:val="21"/>
        </w:rPr>
        <w:t xml:space="preserve"> (IPv4-mapped IPv6 ranges)</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Safe HTTP Client (`server/src/services/safeHttp.ts`):</w:t>
      </w:r>
      <w:r>
        <w:rPr>
          <w:rFonts w:ascii="Calibri" w:hAnsi="Calibri"/>
          <w:b w:val="0"/>
          <w:i w:val="0"/>
          <w:color w:val="2D3748"/>
          <w:sz w:val="21"/>
        </w:rPr>
        <w:t xml:space="preserve"> Wraps Node's native </w:t>
      </w:r>
      <w:r>
        <w:rPr>
          <w:rFonts w:ascii="Consolas" w:hAnsi="Consolas"/>
          <w:b w:val="0"/>
          <w:i w:val="0"/>
          <w:color w:val="2C5282"/>
          <w:sz w:val="19"/>
        </w:rPr>
        <w:t>http</w:t>
      </w:r>
      <w:r>
        <w:rPr>
          <w:rFonts w:ascii="Calibri" w:hAnsi="Calibri"/>
          <w:b w:val="0"/>
          <w:i w:val="0"/>
          <w:color w:val="2D3748"/>
          <w:sz w:val="21"/>
        </w:rPr>
        <w:t xml:space="preserve"> and </w:t>
      </w:r>
      <w:r>
        <w:rPr>
          <w:rFonts w:ascii="Consolas" w:hAnsi="Consolas"/>
          <w:b w:val="0"/>
          <w:i w:val="0"/>
          <w:color w:val="2C5282"/>
          <w:sz w:val="19"/>
        </w:rPr>
        <w:t>https</w:t>
      </w:r>
      <w:r>
        <w:rPr>
          <w:rFonts w:ascii="Calibri" w:hAnsi="Calibri"/>
          <w:b w:val="0"/>
          <w:i w:val="0"/>
          <w:color w:val="2D3748"/>
          <w:sz w:val="21"/>
        </w:rPr>
        <w:t xml:space="preserve"> modules with strict defensive boundaries:</w:t>
      </w:r>
    </w:p>
    <w:p>
      <w:pPr>
        <w:spacing w:before="20" w:after="60" w:line="276" w:lineRule="auto"/>
        <w:ind w:left="360"/>
        <w:jc w:val="left"/>
      </w:pPr>
      <w:r>
        <w:rPr>
          <w:rFonts w:ascii="Calibri" w:hAnsi="Calibri"/>
          <w:b/>
          <w:i w:val="0"/>
          <w:color w:val="2B6CB0"/>
          <w:sz w:val="18"/>
        </w:rPr>
        <w:t xml:space="preserve">▪  </w:t>
      </w:r>
      <w:r>
        <w:rPr>
          <w:rFonts w:ascii="Calibri" w:hAnsi="Calibri"/>
          <w:b w:val="0"/>
          <w:i w:val="0"/>
          <w:color w:val="2D3748"/>
          <w:sz w:val="21"/>
        </w:rPr>
        <w:t xml:space="preserve">Enforces </w:t>
      </w:r>
      <w:r>
        <w:rPr>
          <w:rFonts w:ascii="Consolas" w:hAnsi="Consolas"/>
          <w:b w:val="0"/>
          <w:i w:val="0"/>
          <w:color w:val="2C5282"/>
          <w:sz w:val="19"/>
        </w:rPr>
        <w:t>MAX_RESPONSE_BYTES = 512 * 1024</w:t>
      </w:r>
      <w:r>
        <w:rPr>
          <w:rFonts w:ascii="Calibri" w:hAnsi="Calibri"/>
          <w:b w:val="0"/>
          <w:i w:val="0"/>
          <w:color w:val="2D3748"/>
          <w:sz w:val="21"/>
        </w:rPr>
        <w:t xml:space="preserve"> (512 KB) to prevent memory exhaustion from oversized responses.</w:t>
      </w:r>
    </w:p>
    <w:p>
      <w:pPr>
        <w:spacing w:before="20" w:after="60" w:line="276" w:lineRule="auto"/>
        <w:ind w:left="360"/>
        <w:jc w:val="left"/>
      </w:pPr>
      <w:r>
        <w:rPr>
          <w:rFonts w:ascii="Calibri" w:hAnsi="Calibri"/>
          <w:b/>
          <w:i w:val="0"/>
          <w:color w:val="2B6CB0"/>
          <w:sz w:val="18"/>
        </w:rPr>
        <w:t xml:space="preserve">▪  </w:t>
      </w:r>
      <w:r>
        <w:rPr>
          <w:rFonts w:ascii="Calibri" w:hAnsi="Calibri"/>
          <w:b w:val="0"/>
          <w:i w:val="0"/>
          <w:color w:val="2D3748"/>
          <w:sz w:val="21"/>
        </w:rPr>
        <w:t xml:space="preserve">Limits redirect chains to </w:t>
      </w:r>
      <w:r>
        <w:rPr>
          <w:rFonts w:ascii="Consolas" w:hAnsi="Consolas"/>
          <w:b w:val="0"/>
          <w:i w:val="0"/>
          <w:color w:val="2C5282"/>
          <w:sz w:val="19"/>
        </w:rPr>
        <w:t>MAX_REDIRECTS = 3</w:t>
      </w:r>
      <w:r>
        <w:rPr>
          <w:rFonts w:ascii="Calibri" w:hAnsi="Calibri"/>
          <w:b w:val="0"/>
          <w:i w:val="0"/>
          <w:color w:val="2D3748"/>
          <w:sz w:val="21"/>
        </w:rPr>
        <w:t>, re-verifying every target redirect URL against the SSRF filter before following.</w:t>
      </w:r>
    </w:p>
    <w:p>
      <w:pPr>
        <w:spacing w:before="20" w:after="60" w:line="276" w:lineRule="auto"/>
        <w:ind w:left="360"/>
        <w:jc w:val="left"/>
      </w:pPr>
      <w:r>
        <w:rPr>
          <w:rFonts w:ascii="Calibri" w:hAnsi="Calibri"/>
          <w:b/>
          <w:i w:val="0"/>
          <w:color w:val="2B6CB0"/>
          <w:sz w:val="18"/>
        </w:rPr>
        <w:t xml:space="preserve">▪  </w:t>
      </w:r>
      <w:r>
        <w:rPr>
          <w:rFonts w:ascii="Calibri" w:hAnsi="Calibri"/>
          <w:b w:val="0"/>
          <w:i w:val="0"/>
          <w:color w:val="2D3748"/>
          <w:sz w:val="21"/>
        </w:rPr>
        <w:t>Imposes strict per-request timeouts (default 8,000 ms).</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DNS &amp; Email Analysis (`server/src/services/dns.ts`, `spfAnalysis.ts`, `dmarcAnalysis.ts`):</w:t>
      </w:r>
      <w:r>
        <w:rPr>
          <w:rFonts w:ascii="Calibri" w:hAnsi="Calibri"/>
          <w:b w:val="0"/>
          <w:i w:val="0"/>
          <w:color w:val="2D3748"/>
          <w:sz w:val="21"/>
        </w:rPr>
        <w:t xml:space="preserve"> Parses TXT records using regular expressions to evaluate email defense mechanisms. Computes DNS lookup counts in SPF records to detect violations of the RFC 7208 10-lookup limit. Evaluates DMARC policy enforcement (</w:t>
      </w:r>
      <w:r>
        <w:rPr>
          <w:rFonts w:ascii="Consolas" w:hAnsi="Consolas"/>
          <w:b w:val="0"/>
          <w:i w:val="0"/>
          <w:color w:val="2C5282"/>
          <w:sz w:val="19"/>
        </w:rPr>
        <w:t>p=reject</w:t>
      </w:r>
      <w:r>
        <w:rPr>
          <w:rFonts w:ascii="Calibri" w:hAnsi="Calibri"/>
          <w:b w:val="0"/>
          <w:i w:val="0"/>
          <w:color w:val="2D3748"/>
          <w:sz w:val="21"/>
        </w:rPr>
        <w:t xml:space="preserve">, </w:t>
      </w:r>
      <w:r>
        <w:rPr>
          <w:rFonts w:ascii="Consolas" w:hAnsi="Consolas"/>
          <w:b w:val="0"/>
          <w:i w:val="0"/>
          <w:color w:val="2C5282"/>
          <w:sz w:val="19"/>
        </w:rPr>
        <w:t>p=quarantine</w:t>
      </w:r>
      <w:r>
        <w:rPr>
          <w:rFonts w:ascii="Calibri" w:hAnsi="Calibri"/>
          <w:b w:val="0"/>
          <w:i w:val="0"/>
          <w:color w:val="2D3748"/>
          <w:sz w:val="21"/>
        </w:rPr>
        <w:t xml:space="preserve">, or </w:t>
      </w:r>
      <w:r>
        <w:rPr>
          <w:rFonts w:ascii="Consolas" w:hAnsi="Consolas"/>
          <w:b w:val="0"/>
          <w:i w:val="0"/>
          <w:color w:val="2C5282"/>
          <w:sz w:val="19"/>
        </w:rPr>
        <w:t>p=none</w:t>
      </w:r>
      <w:r>
        <w:rPr>
          <w:rFonts w:ascii="Calibri" w:hAnsi="Calibri"/>
          <w:b w:val="0"/>
          <w:i w:val="0"/>
          <w:color w:val="2D3748"/>
          <w:sz w:val="21"/>
        </w:rPr>
        <w:t>) and checks for forensic reporting (</w:t>
      </w:r>
      <w:r>
        <w:rPr>
          <w:rFonts w:ascii="Consolas" w:hAnsi="Consolas"/>
          <w:b w:val="0"/>
          <w:i w:val="0"/>
          <w:color w:val="2C5282"/>
          <w:sz w:val="19"/>
        </w:rPr>
        <w:t>ruf</w:t>
      </w:r>
      <w:r>
        <w:rPr>
          <w:rFonts w:ascii="Calibri" w:hAnsi="Calibri"/>
          <w:b w:val="0"/>
          <w:i w:val="0"/>
          <w:color w:val="2D3748"/>
          <w:sz w:val="21"/>
        </w:rPr>
        <w:t>) and aggregate reporting (</w:t>
      </w:r>
      <w:r>
        <w:rPr>
          <w:rFonts w:ascii="Consolas" w:hAnsi="Consolas"/>
          <w:b w:val="0"/>
          <w:i w:val="0"/>
          <w:color w:val="2C5282"/>
          <w:sz w:val="19"/>
        </w:rPr>
        <w:t>rua</w:t>
      </w:r>
      <w:r>
        <w:rPr>
          <w:rFonts w:ascii="Calibri" w:hAnsi="Calibri"/>
          <w:b w:val="0"/>
          <w:i w:val="0"/>
          <w:color w:val="2D3748"/>
          <w:sz w:val="21"/>
        </w:rPr>
        <w:t>) tags.</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TLS Handshake Service (`server/src/services/tls.ts`):</w:t>
      </w:r>
      <w:r>
        <w:rPr>
          <w:rFonts w:ascii="Calibri" w:hAnsi="Calibri"/>
          <w:b w:val="0"/>
          <w:i w:val="0"/>
          <w:color w:val="2D3748"/>
          <w:sz w:val="21"/>
        </w:rPr>
        <w:t xml:space="preserve"> Opens a raw </w:t>
      </w:r>
      <w:r>
        <w:rPr>
          <w:rFonts w:ascii="Consolas" w:hAnsi="Consolas"/>
          <w:b w:val="0"/>
          <w:i w:val="0"/>
          <w:color w:val="2C5282"/>
          <w:sz w:val="19"/>
        </w:rPr>
        <w:t>tls.connect</w:t>
      </w:r>
      <w:r>
        <w:rPr>
          <w:rFonts w:ascii="Calibri" w:hAnsi="Calibri"/>
          <w:b w:val="0"/>
          <w:i w:val="0"/>
          <w:color w:val="2D3748"/>
          <w:sz w:val="21"/>
        </w:rPr>
        <w:t xml:space="preserve"> socket to port 443 with </w:t>
      </w:r>
      <w:r>
        <w:rPr>
          <w:rFonts w:ascii="Consolas" w:hAnsi="Consolas"/>
          <w:b w:val="0"/>
          <w:i w:val="0"/>
          <w:color w:val="2C5282"/>
          <w:sz w:val="19"/>
        </w:rPr>
        <w:t>rejectUnauthorized: false</w:t>
      </w:r>
      <w:r>
        <w:rPr>
          <w:rFonts w:ascii="Calibri" w:hAnsi="Calibri"/>
          <w:b w:val="0"/>
          <w:i w:val="0"/>
          <w:color w:val="2D3748"/>
          <w:sz w:val="21"/>
        </w:rPr>
        <w:t xml:space="preserve"> to inspect self-signed or expired certificates without aborting the handshake. Extracts cipher suite algorithms, protocol version (TLSv1.2, TLSv1.3), validity timestamps, and Subject Alternative Names (SANs).</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IP Intelligence &amp; Exposure (`server/src/services/ipIntelligence.ts`, `shodanIntel.ts`):</w:t>
      </w:r>
      <w:r>
        <w:rPr>
          <w:rFonts w:ascii="Calibri" w:hAnsi="Calibri"/>
          <w:b w:val="0"/>
          <w:i w:val="0"/>
          <w:color w:val="2D3748"/>
          <w:sz w:val="21"/>
        </w:rPr>
        <w:t xml:space="preserve"> Queries passive IP APIs to resolve AS numbers, organization names, and geographic coordinates. Queries Shodan InternetDB passively to extract observed listening ports and CVE numbers without scanning target IPs.</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Dual-Mode Persistence Layer (`server/src/db/index.ts`):</w:t>
      </w:r>
      <w:r>
        <w:rPr>
          <w:rFonts w:ascii="Calibri" w:hAnsi="Calibri"/>
          <w:b w:val="0"/>
          <w:i w:val="0"/>
          <w:color w:val="2D3748"/>
          <w:sz w:val="21"/>
        </w:rPr>
        <w:t xml:space="preserve"> Supports seamless dual-mode operation:</w:t>
      </w:r>
    </w:p>
    <w:p>
      <w:pPr>
        <w:spacing w:before="20" w:after="60" w:line="276" w:lineRule="auto"/>
        <w:ind w:left="360"/>
        <w:jc w:val="left"/>
      </w:pPr>
      <w:r>
        <w:rPr>
          <w:rFonts w:ascii="Calibri" w:hAnsi="Calibri"/>
          <w:b/>
          <w:i w:val="0"/>
          <w:color w:val="2B6CB0"/>
          <w:sz w:val="18"/>
        </w:rPr>
        <w:t xml:space="preserve">▪  </w:t>
      </w:r>
      <w:r>
        <w:rPr>
          <w:rFonts w:ascii="Calibri" w:hAnsi="Calibri"/>
          <w:b w:val="0"/>
          <w:i/>
          <w:color w:val="2D3748"/>
          <w:sz w:val="21"/>
        </w:rPr>
        <w:t>Production Mode:</w:t>
      </w:r>
      <w:r>
        <w:rPr>
          <w:rFonts w:ascii="Calibri" w:hAnsi="Calibri"/>
          <w:b w:val="0"/>
          <w:i w:val="0"/>
          <w:color w:val="2D3748"/>
          <w:sz w:val="21"/>
        </w:rPr>
        <w:t xml:space="preserve"> Connects to PostgreSQL using </w:t>
      </w:r>
      <w:r>
        <w:rPr>
          <w:rFonts w:ascii="Consolas" w:hAnsi="Consolas"/>
          <w:b w:val="0"/>
          <w:i w:val="0"/>
          <w:color w:val="2C5282"/>
          <w:sz w:val="19"/>
        </w:rPr>
        <w:t>pg.Pool</w:t>
      </w:r>
      <w:r>
        <w:rPr>
          <w:rFonts w:ascii="Calibri" w:hAnsi="Calibri"/>
          <w:b w:val="0"/>
          <w:i w:val="0"/>
          <w:color w:val="2D3748"/>
          <w:sz w:val="21"/>
        </w:rPr>
        <w:t xml:space="preserve">. Automatically initializes </w:t>
      </w:r>
      <w:r>
        <w:rPr>
          <w:rFonts w:ascii="Consolas" w:hAnsi="Consolas"/>
          <w:b w:val="0"/>
          <w:i w:val="0"/>
          <w:color w:val="2C5282"/>
          <w:sz w:val="19"/>
        </w:rPr>
        <w:t>schema.sql</w:t>
      </w:r>
      <w:r>
        <w:rPr>
          <w:rFonts w:ascii="Calibri" w:hAnsi="Calibri"/>
          <w:b w:val="0"/>
          <w:i w:val="0"/>
          <w:color w:val="2D3748"/>
          <w:sz w:val="21"/>
        </w:rPr>
        <w:t xml:space="preserve"> defining relational tables (</w:t>
      </w:r>
      <w:r>
        <w:rPr>
          <w:rFonts w:ascii="Consolas" w:hAnsi="Consolas"/>
          <w:b w:val="0"/>
          <w:i w:val="0"/>
          <w:color w:val="2C5282"/>
          <w:sz w:val="19"/>
        </w:rPr>
        <w:t>users</w:t>
      </w:r>
      <w:r>
        <w:rPr>
          <w:rFonts w:ascii="Calibri" w:hAnsi="Calibri"/>
          <w:b w:val="0"/>
          <w:i w:val="0"/>
          <w:color w:val="2D3748"/>
          <w:sz w:val="21"/>
        </w:rPr>
        <w:t xml:space="preserve">, </w:t>
      </w:r>
      <w:r>
        <w:rPr>
          <w:rFonts w:ascii="Consolas" w:hAnsi="Consolas"/>
          <w:b w:val="0"/>
          <w:i w:val="0"/>
          <w:color w:val="2C5282"/>
          <w:sz w:val="19"/>
        </w:rPr>
        <w:t>sessions</w:t>
      </w:r>
      <w:r>
        <w:rPr>
          <w:rFonts w:ascii="Calibri" w:hAnsi="Calibri"/>
          <w:b w:val="0"/>
          <w:i w:val="0"/>
          <w:color w:val="2D3748"/>
          <w:sz w:val="21"/>
        </w:rPr>
        <w:t xml:space="preserve">, </w:t>
      </w:r>
      <w:r>
        <w:rPr>
          <w:rFonts w:ascii="Consolas" w:hAnsi="Consolas"/>
          <w:b w:val="0"/>
          <w:i w:val="0"/>
          <w:color w:val="2C5282"/>
          <w:sz w:val="19"/>
        </w:rPr>
        <w:t>scans</w:t>
      </w:r>
      <w:r>
        <w:rPr>
          <w:rFonts w:ascii="Calibri" w:hAnsi="Calibri"/>
          <w:b w:val="0"/>
          <w:i w:val="0"/>
          <w:color w:val="2D3748"/>
          <w:sz w:val="21"/>
        </w:rPr>
        <w:t xml:space="preserve">, </w:t>
      </w:r>
      <w:r>
        <w:rPr>
          <w:rFonts w:ascii="Consolas" w:hAnsi="Consolas"/>
          <w:b w:val="0"/>
          <w:i w:val="0"/>
          <w:color w:val="2C5282"/>
          <w:sz w:val="19"/>
        </w:rPr>
        <w:t>scan_results</w:t>
      </w:r>
      <w:r>
        <w:rPr>
          <w:rFonts w:ascii="Calibri" w:hAnsi="Calibri"/>
          <w:b w:val="0"/>
          <w:i w:val="0"/>
          <w:color w:val="2D3748"/>
          <w:sz w:val="21"/>
        </w:rPr>
        <w:t xml:space="preserve">, </w:t>
      </w:r>
      <w:r>
        <w:rPr>
          <w:rFonts w:ascii="Consolas" w:hAnsi="Consolas"/>
          <w:b w:val="0"/>
          <w:i w:val="0"/>
          <w:color w:val="2C5282"/>
          <w:sz w:val="19"/>
        </w:rPr>
        <w:t>quotas</w:t>
      </w:r>
      <w:r>
        <w:rPr>
          <w:rFonts w:ascii="Calibri" w:hAnsi="Calibri"/>
          <w:b w:val="0"/>
          <w:i w:val="0"/>
          <w:color w:val="2D3748"/>
          <w:sz w:val="21"/>
        </w:rPr>
        <w:t>) with foreign-key cascade deletions.</w:t>
      </w:r>
    </w:p>
    <w:p>
      <w:pPr>
        <w:spacing w:before="20" w:after="60" w:line="276" w:lineRule="auto"/>
        <w:ind w:left="360"/>
        <w:jc w:val="left"/>
      </w:pPr>
      <w:r>
        <w:rPr>
          <w:rFonts w:ascii="Calibri" w:hAnsi="Calibri"/>
          <w:b/>
          <w:i w:val="0"/>
          <w:color w:val="2B6CB0"/>
          <w:sz w:val="18"/>
        </w:rPr>
        <w:t xml:space="preserve">▪  </w:t>
      </w:r>
      <w:r>
        <w:rPr>
          <w:rFonts w:ascii="Calibri" w:hAnsi="Calibri"/>
          <w:b w:val="0"/>
          <w:i/>
          <w:color w:val="2D3748"/>
          <w:sz w:val="21"/>
        </w:rPr>
        <w:t>Development &amp; CI Mode:</w:t>
      </w:r>
      <w:r>
        <w:rPr>
          <w:rFonts w:ascii="Calibri" w:hAnsi="Calibri"/>
          <w:b w:val="0"/>
          <w:i w:val="0"/>
          <w:color w:val="2D3748"/>
          <w:sz w:val="21"/>
        </w:rPr>
        <w:t xml:space="preserve"> Automatically falls back to an atomic in-memory JSON file store (</w:t>
      </w:r>
      <w:r>
        <w:rPr>
          <w:rFonts w:ascii="Consolas" w:hAnsi="Consolas"/>
          <w:b w:val="0"/>
          <w:i w:val="0"/>
          <w:color w:val="2C5282"/>
          <w:sz w:val="19"/>
        </w:rPr>
        <w:t>.data/dass_db.json</w:t>
      </w:r>
      <w:r>
        <w:rPr>
          <w:rFonts w:ascii="Calibri" w:hAnsi="Calibri"/>
          <w:b w:val="0"/>
          <w:i w:val="0"/>
          <w:color w:val="2D3748"/>
          <w:sz w:val="21"/>
        </w:rPr>
        <w:t xml:space="preserve">) when </w:t>
      </w:r>
      <w:r>
        <w:rPr>
          <w:rFonts w:ascii="Consolas" w:hAnsi="Consolas"/>
          <w:b w:val="0"/>
          <w:i w:val="0"/>
          <w:color w:val="2C5282"/>
          <w:sz w:val="19"/>
        </w:rPr>
        <w:t>DATABASE_URL</w:t>
      </w:r>
      <w:r>
        <w:rPr>
          <w:rFonts w:ascii="Calibri" w:hAnsi="Calibri"/>
          <w:b w:val="0"/>
          <w:i w:val="0"/>
          <w:color w:val="2D3748"/>
          <w:sz w:val="21"/>
        </w:rPr>
        <w:t xml:space="preserve"> is unset, enabling rapid zero-dependency local development and sub-second test execution.</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Cryptographic Authentication:</w:t>
      </w:r>
      <w:r>
        <w:rPr>
          <w:rFonts w:ascii="Calibri" w:hAnsi="Calibri"/>
          <w:b w:val="0"/>
          <w:i w:val="0"/>
          <w:color w:val="2D3748"/>
          <w:sz w:val="21"/>
        </w:rPr>
        <w:t xml:space="preserve"> Implements first-party user authentication using RFC 7914 </w:t>
      </w:r>
      <w:r>
        <w:rPr>
          <w:rFonts w:ascii="Calibri" w:hAnsi="Calibri"/>
          <w:b/>
          <w:i w:val="0"/>
          <w:color w:val="2D3748"/>
          <w:sz w:val="21"/>
        </w:rPr>
        <w:t>Scrypt</w:t>
      </w:r>
      <w:r>
        <w:rPr>
          <w:rFonts w:ascii="Calibri" w:hAnsi="Calibri"/>
          <w:b w:val="0"/>
          <w:i w:val="0"/>
          <w:color w:val="2D3748"/>
          <w:sz w:val="21"/>
        </w:rPr>
        <w:t xml:space="preserve"> with 16-byte random salts (</w:t>
      </w:r>
      <w:r>
        <w:rPr>
          <w:rFonts w:ascii="Consolas" w:hAnsi="Consolas"/>
          <w:b w:val="0"/>
          <w:i w:val="0"/>
          <w:color w:val="2C5282"/>
          <w:sz w:val="19"/>
        </w:rPr>
        <w:t>N=16384, r=8, p=1, keylen=64</w:t>
      </w:r>
      <w:r>
        <w:rPr>
          <w:rFonts w:ascii="Calibri" w:hAnsi="Calibri"/>
          <w:b w:val="0"/>
          <w:i w:val="0"/>
          <w:color w:val="2D3748"/>
          <w:sz w:val="21"/>
        </w:rPr>
        <w:t xml:space="preserve">). Compares hash digests using </w:t>
      </w:r>
      <w:r>
        <w:rPr>
          <w:rFonts w:ascii="Consolas" w:hAnsi="Consolas"/>
          <w:b w:val="0"/>
          <w:i w:val="0"/>
          <w:color w:val="2C5282"/>
          <w:sz w:val="19"/>
        </w:rPr>
        <w:t>crypto.timingSafeEqual</w:t>
      </w:r>
      <w:r>
        <w:rPr>
          <w:rFonts w:ascii="Calibri" w:hAnsi="Calibri"/>
          <w:b w:val="0"/>
          <w:i w:val="0"/>
          <w:color w:val="2D3748"/>
          <w:sz w:val="21"/>
        </w:rPr>
        <w:t xml:space="preserve"> to eliminate side-channel timing attacks. Issues 32-byte cryptographically random session tokens stored in </w:t>
      </w:r>
      <w:r>
        <w:rPr>
          <w:rFonts w:ascii="Consolas" w:hAnsi="Consolas"/>
          <w:b w:val="0"/>
          <w:i w:val="0"/>
          <w:color w:val="2C5282"/>
          <w:sz w:val="19"/>
        </w:rPr>
        <w:t>HttpOnly</w:t>
      </w:r>
      <w:r>
        <w:rPr>
          <w:rFonts w:ascii="Calibri" w:hAnsi="Calibri"/>
          <w:b w:val="0"/>
          <w:i w:val="0"/>
          <w:color w:val="2D3748"/>
          <w:sz w:val="21"/>
        </w:rPr>
        <w:t xml:space="preserve">, </w:t>
      </w:r>
      <w:r>
        <w:rPr>
          <w:rFonts w:ascii="Consolas" w:hAnsi="Consolas"/>
          <w:b w:val="0"/>
          <w:i w:val="0"/>
          <w:color w:val="2C5282"/>
          <w:sz w:val="19"/>
        </w:rPr>
        <w:t>SameSite=Lax</w:t>
      </w:r>
      <w:r>
        <w:rPr>
          <w:rFonts w:ascii="Calibri" w:hAnsi="Calibri"/>
          <w:b w:val="0"/>
          <w:i w:val="0"/>
          <w:color w:val="2D3748"/>
          <w:sz w:val="21"/>
        </w:rPr>
        <w:t xml:space="preserve">, </w:t>
      </w:r>
      <w:r>
        <w:rPr>
          <w:rFonts w:ascii="Consolas" w:hAnsi="Consolas"/>
          <w:b w:val="0"/>
          <w:i w:val="0"/>
          <w:color w:val="2C5282"/>
          <w:sz w:val="19"/>
        </w:rPr>
        <w:t>Secure</w:t>
      </w:r>
      <w:r>
        <w:rPr>
          <w:rFonts w:ascii="Calibri" w:hAnsi="Calibri"/>
          <w:b w:val="0"/>
          <w:i w:val="0"/>
          <w:color w:val="2D3748"/>
          <w:sz w:val="21"/>
        </w:rPr>
        <w:t xml:space="preserve"> cookies (</w:t>
      </w:r>
      <w:r>
        <w:rPr>
          <w:rFonts w:ascii="Consolas" w:hAnsi="Consolas"/>
          <w:b w:val="0"/>
          <w:i w:val="0"/>
          <w:color w:val="2C5282"/>
          <w:sz w:val="19"/>
        </w:rPr>
        <w:t>dass_session</w:t>
      </w:r>
      <w:r>
        <w:rPr>
          <w:rFonts w:ascii="Calibri" w:hAnsi="Calibri"/>
          <w:b w:val="0"/>
          <w:i w:val="0"/>
          <w:color w:val="2D3748"/>
          <w:sz w:val="21"/>
        </w:rPr>
        <w:t>).</w:t>
      </w:r>
    </w:p>
    <w:p>
      <w:pPr>
        <w:keepNext/>
        <w:spacing w:before="200" w:after="60" w:line="300" w:lineRule="auto"/>
        <w:jc w:val="left"/>
      </w:pPr>
      <w:r>
        <w:rPr>
          <w:rFonts w:ascii="Calibri" w:hAnsi="Calibri"/>
          <w:b/>
          <w:i w:val="0"/>
          <w:color w:val="2C5282"/>
          <w:sz w:val="25"/>
        </w:rPr>
        <w:t>11.2 Frontend Implementation Details</w:t>
      </w:r>
    </w:p>
    <w:p>
      <w:pPr>
        <w:spacing w:before="40" w:after="120" w:line="300" w:lineRule="auto"/>
        <w:jc w:val="both"/>
      </w:pPr>
      <w:r>
        <w:rPr>
          <w:rFonts w:ascii="Calibri" w:hAnsi="Calibri"/>
          <w:b w:val="0"/>
          <w:i w:val="0"/>
          <w:color w:val="2D3748"/>
          <w:sz w:val="22"/>
        </w:rPr>
        <w:t>The frontend is built using React 19 and Vite 8:</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Design System (`client/src/index.css`):</w:t>
      </w:r>
      <w:r>
        <w:rPr>
          <w:rFonts w:ascii="Calibri" w:hAnsi="Calibri"/>
          <w:b w:val="0"/>
          <w:i w:val="0"/>
          <w:color w:val="2D3748"/>
          <w:sz w:val="21"/>
        </w:rPr>
        <w:t xml:space="preserve"> Built entirely with pure Vanilla CSS custom properties. Implements high-contrast, professional "field report" editorial styling across Dark and Light themes. Eliminates AI-generated website clichés (no gratuitous gradients, glowing borders, or neon accents) in favor of crisp hairline borders, monospace telemetry readouts, and Newsreader serif headings.</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Attack Surface Graph (`client/src/components/AttackSurfaceGraph.tsx`):</w:t>
      </w:r>
      <w:r>
        <w:rPr>
          <w:rFonts w:ascii="Calibri" w:hAnsi="Calibri"/>
          <w:b w:val="0"/>
          <w:i w:val="0"/>
          <w:color w:val="2D3748"/>
          <w:sz w:val="21"/>
        </w:rPr>
        <w:t xml:space="preserve"> A custom, dependency-free interactive SVG network graph. Renders assets as color-coded nodes and relationships as directed connecting edges with zoom, pan, and node-selection inspectors.</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Infrastructure Map (`client/src/components/InfrastructureMap.tsx`):</w:t>
      </w:r>
      <w:r>
        <w:rPr>
          <w:rFonts w:ascii="Calibri" w:hAnsi="Calibri"/>
          <w:b w:val="0"/>
          <w:i w:val="0"/>
          <w:color w:val="2D3748"/>
          <w:sz w:val="21"/>
        </w:rPr>
        <w:t xml:space="preserve"> Embeds Leaflet to plot discovered public IP addresses on an interactive world map, grouping assets by geographic point-of-presence.</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Routing Asset Chains (`client/src/components/AssetChainVisualizer.tsx`):</w:t>
      </w:r>
      <w:r>
        <w:rPr>
          <w:rFonts w:ascii="Calibri" w:hAnsi="Calibri"/>
          <w:b w:val="0"/>
          <w:i w:val="0"/>
          <w:color w:val="2D3748"/>
          <w:sz w:val="21"/>
        </w:rPr>
        <w:t xml:space="preserve"> Displays visual hierarchical trees tracing how the primary target domain resolves through intermediate CNAMEs to IP addresses, nameservers, and upstream Autonomous Systems.</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Scan Comparison Engine (`client/src/pages/ComparisonPage.tsx`):</w:t>
      </w:r>
      <w:r>
        <w:rPr>
          <w:rFonts w:ascii="Calibri" w:hAnsi="Calibri"/>
          <w:b w:val="0"/>
          <w:i w:val="0"/>
          <w:color w:val="2D3748"/>
          <w:sz w:val="21"/>
        </w:rPr>
        <w:t xml:space="preserve"> Allows authenticated users to select two historical scans of the same domain and compute a deterministic diff highlighting added/removed assets, resolved/new findings, and certificate or DNS drift.</w:t>
      </w:r>
    </w:p>
    <w:p>
      <w:pPr>
        <w:spacing w:before="120" w:after="120" w:line="300" w:lineRule="auto"/>
        <w:jc w:val="center"/>
      </w:pPr>
      <w:r>
        <w:rPr>
          <w:color w:val="E2E8F0"/>
          <w:sz w:val="20"/>
        </w:rPr>
        <w:t>―――――――――――――――――――――――――――――――――――――――――――――――――――――――</w:t>
      </w:r>
    </w:p>
    <w:p>
      <w:pPr>
        <w:keepNext/>
        <w:spacing w:before="280" w:after="80" w:line="300" w:lineRule="auto"/>
        <w:jc w:val="left"/>
      </w:pPr>
      <w:r>
        <w:rPr>
          <w:rFonts w:ascii="Calibri" w:hAnsi="Calibri"/>
          <w:b/>
          <w:i w:val="0"/>
          <w:color w:val="2B6CB0"/>
          <w:sz w:val="30"/>
        </w:rPr>
        <w:t>12. KEY FEATURES</w:t>
      </w:r>
    </w:p>
    <w:p>
      <w:pPr>
        <w:keepNext/>
        <w:spacing w:before="200" w:after="60" w:line="300" w:lineRule="auto"/>
        <w:jc w:val="left"/>
      </w:pPr>
      <w:r>
        <w:rPr>
          <w:rFonts w:ascii="Calibri" w:hAnsi="Calibri"/>
          <w:b/>
          <w:i w:val="0"/>
          <w:color w:val="2C5282"/>
          <w:sz w:val="25"/>
        </w:rPr>
        <w:t>12.1 Non-Intrusive Asset &amp; Subdomain Enumeration</w:t>
      </w:r>
    </w:p>
    <w:p>
      <w:pPr>
        <w:spacing w:before="40" w:after="120" w:line="300" w:lineRule="auto"/>
        <w:jc w:val="both"/>
      </w:pPr>
      <w:r>
        <w:rPr>
          <w:rFonts w:ascii="Calibri" w:hAnsi="Calibri"/>
          <w:b w:val="0"/>
          <w:i w:val="0"/>
          <w:color w:val="2D3748"/>
          <w:sz w:val="22"/>
        </w:rPr>
        <w:t>DASS discovers assets exclusively via passive channels:</w:t>
      </w:r>
    </w:p>
    <w:p>
      <w:pPr>
        <w:spacing w:before="20" w:after="60" w:line="276" w:lineRule="auto"/>
        <w:ind w:left="360"/>
        <w:jc w:val="left"/>
      </w:pPr>
      <w:r>
        <w:rPr>
          <w:rFonts w:ascii="Calibri" w:hAnsi="Calibri"/>
          <w:b/>
          <w:i w:val="0"/>
          <w:color w:val="2B6CB0"/>
          <w:sz w:val="18"/>
        </w:rPr>
        <w:t xml:space="preserve">▪  </w:t>
      </w:r>
      <w:r>
        <w:rPr>
          <w:rFonts w:ascii="Calibri" w:hAnsi="Calibri"/>
          <w:b w:val="0"/>
          <w:i w:val="0"/>
          <w:color w:val="2D3748"/>
          <w:sz w:val="21"/>
        </w:rPr>
        <w:t>Queries crt.sh Certificate Transparency logs to discover registered subdomains without brute-force wordlists.</w:t>
      </w:r>
    </w:p>
    <w:p>
      <w:pPr>
        <w:spacing w:before="20" w:after="60" w:line="276" w:lineRule="auto"/>
        <w:ind w:left="360"/>
        <w:jc w:val="left"/>
      </w:pPr>
      <w:r>
        <w:rPr>
          <w:rFonts w:ascii="Calibri" w:hAnsi="Calibri"/>
          <w:b/>
          <w:i w:val="0"/>
          <w:color w:val="2B6CB0"/>
          <w:sz w:val="18"/>
        </w:rPr>
        <w:t xml:space="preserve">▪  </w:t>
      </w:r>
      <w:r>
        <w:rPr>
          <w:rFonts w:ascii="Calibri" w:hAnsi="Calibri"/>
          <w:b w:val="0"/>
          <w:i w:val="0"/>
          <w:color w:val="2D3748"/>
          <w:sz w:val="21"/>
        </w:rPr>
        <w:t>Queries authoritative DNS records across A, AAAA, CNAME, MX, NS, TXT, and CAA types.</w:t>
      </w:r>
    </w:p>
    <w:p>
      <w:pPr>
        <w:spacing w:before="20" w:after="60" w:line="276" w:lineRule="auto"/>
        <w:ind w:left="360"/>
        <w:jc w:val="left"/>
      </w:pPr>
      <w:r>
        <w:rPr>
          <w:rFonts w:ascii="Calibri" w:hAnsi="Calibri"/>
          <w:b/>
          <w:i w:val="0"/>
          <w:color w:val="2B6CB0"/>
          <w:sz w:val="18"/>
        </w:rPr>
        <w:t xml:space="preserve">▪  </w:t>
      </w:r>
      <w:r>
        <w:rPr>
          <w:rFonts w:ascii="Calibri" w:hAnsi="Calibri"/>
          <w:b w:val="0"/>
          <w:i w:val="0"/>
          <w:color w:val="2D3748"/>
          <w:sz w:val="21"/>
        </w:rPr>
        <w:t>Discovers associated mail exchangers and nameservers.</w:t>
      </w:r>
    </w:p>
    <w:p>
      <w:pPr>
        <w:keepNext/>
        <w:spacing w:before="200" w:after="60" w:line="300" w:lineRule="auto"/>
        <w:jc w:val="left"/>
      </w:pPr>
      <w:r>
        <w:rPr>
          <w:rFonts w:ascii="Calibri" w:hAnsi="Calibri"/>
          <w:b/>
          <w:i w:val="0"/>
          <w:color w:val="2C5282"/>
          <w:sz w:val="25"/>
        </w:rPr>
        <w:t>12.2 Cryptographic TLS &amp; Transport Security Auditing</w:t>
      </w:r>
    </w:p>
    <w:p>
      <w:pPr>
        <w:spacing w:before="20" w:after="60" w:line="276" w:lineRule="auto"/>
        <w:ind w:left="360"/>
        <w:jc w:val="left"/>
      </w:pPr>
      <w:r>
        <w:rPr>
          <w:rFonts w:ascii="Calibri" w:hAnsi="Calibri"/>
          <w:b/>
          <w:i w:val="0"/>
          <w:color w:val="2B6CB0"/>
          <w:sz w:val="18"/>
        </w:rPr>
        <w:t xml:space="preserve">▪  </w:t>
      </w:r>
      <w:r>
        <w:rPr>
          <w:rFonts w:ascii="Calibri" w:hAnsi="Calibri"/>
          <w:b w:val="0"/>
          <w:i w:val="0"/>
          <w:color w:val="2D3748"/>
          <w:sz w:val="21"/>
        </w:rPr>
        <w:t>Inspects TLS certificates for validity, expiration countdowns, and wildcard coverage.</w:t>
      </w:r>
    </w:p>
    <w:p>
      <w:pPr>
        <w:spacing w:before="20" w:after="60" w:line="276" w:lineRule="auto"/>
        <w:ind w:left="360"/>
        <w:jc w:val="left"/>
      </w:pPr>
      <w:r>
        <w:rPr>
          <w:rFonts w:ascii="Calibri" w:hAnsi="Calibri"/>
          <w:b/>
          <w:i w:val="0"/>
          <w:color w:val="2B6CB0"/>
          <w:sz w:val="18"/>
        </w:rPr>
        <w:t xml:space="preserve">▪  </w:t>
      </w:r>
      <w:r>
        <w:rPr>
          <w:rFonts w:ascii="Calibri" w:hAnsi="Calibri"/>
          <w:b w:val="0"/>
          <w:i w:val="0"/>
          <w:color w:val="2D3748"/>
          <w:sz w:val="21"/>
        </w:rPr>
        <w:t>Flags certificates expiring within 30 days (warning) or 7 days (critical).</w:t>
      </w:r>
    </w:p>
    <w:p>
      <w:pPr>
        <w:spacing w:before="20" w:after="60" w:line="276" w:lineRule="auto"/>
        <w:ind w:left="360"/>
        <w:jc w:val="left"/>
      </w:pPr>
      <w:r>
        <w:rPr>
          <w:rFonts w:ascii="Calibri" w:hAnsi="Calibri"/>
          <w:b/>
          <w:i w:val="0"/>
          <w:color w:val="2B6CB0"/>
          <w:sz w:val="18"/>
        </w:rPr>
        <w:t xml:space="preserve">▪  </w:t>
      </w:r>
      <w:r>
        <w:rPr>
          <w:rFonts w:ascii="Calibri" w:hAnsi="Calibri"/>
          <w:b w:val="0"/>
          <w:i w:val="0"/>
          <w:color w:val="2D3748"/>
          <w:sz w:val="21"/>
        </w:rPr>
        <w:t>Verifies HTTP-to-HTTPS redirect enforcement to ensure unencrypted traffic is rejected.</w:t>
      </w:r>
    </w:p>
    <w:p>
      <w:pPr>
        <w:keepNext/>
        <w:spacing w:before="200" w:after="60" w:line="300" w:lineRule="auto"/>
        <w:jc w:val="left"/>
      </w:pPr>
      <w:r>
        <w:rPr>
          <w:rFonts w:ascii="Calibri" w:hAnsi="Calibri"/>
          <w:b/>
          <w:i w:val="0"/>
          <w:color w:val="2C5282"/>
          <w:sz w:val="25"/>
        </w:rPr>
        <w:t>12.3 Web Perimeter Header Defenses</w:t>
      </w:r>
    </w:p>
    <w:p>
      <w:pPr>
        <w:spacing w:before="40" w:after="120" w:line="300" w:lineRule="auto"/>
        <w:jc w:val="both"/>
      </w:pPr>
      <w:r>
        <w:rPr>
          <w:rFonts w:ascii="Calibri" w:hAnsi="Calibri"/>
          <w:b w:val="0"/>
          <w:i w:val="0"/>
          <w:color w:val="2D3748"/>
          <w:sz w:val="22"/>
        </w:rPr>
        <w:t>Audits the presence and configuration of modern security headers:</w:t>
      </w:r>
    </w:p>
    <w:p>
      <w:pPr>
        <w:spacing w:before="20" w:after="60" w:line="276" w:lineRule="auto"/>
        <w:ind w:left="360"/>
        <w:jc w:val="left"/>
      </w:pPr>
      <w:r>
        <w:rPr>
          <w:rFonts w:ascii="Calibri" w:hAnsi="Calibri"/>
          <w:b/>
          <w:i w:val="0"/>
          <w:color w:val="2B6CB0"/>
          <w:sz w:val="18"/>
        </w:rPr>
        <w:t xml:space="preserve">▪  </w:t>
      </w:r>
      <w:r>
        <w:rPr>
          <w:rFonts w:ascii="Consolas" w:hAnsi="Consolas"/>
          <w:b w:val="0"/>
          <w:i w:val="0"/>
          <w:color w:val="2C5282"/>
          <w:sz w:val="19"/>
        </w:rPr>
        <w:t>Strict-Transport-Security</w:t>
      </w:r>
      <w:r>
        <w:rPr>
          <w:rFonts w:ascii="Calibri" w:hAnsi="Calibri"/>
          <w:b w:val="0"/>
          <w:i w:val="0"/>
          <w:color w:val="2D3748"/>
          <w:sz w:val="21"/>
        </w:rPr>
        <w:t xml:space="preserve"> (HSTS): Enforces transport layer encryption.</w:t>
      </w:r>
    </w:p>
    <w:p>
      <w:pPr>
        <w:spacing w:before="20" w:after="60" w:line="276" w:lineRule="auto"/>
        <w:ind w:left="360"/>
        <w:jc w:val="left"/>
      </w:pPr>
      <w:r>
        <w:rPr>
          <w:rFonts w:ascii="Calibri" w:hAnsi="Calibri"/>
          <w:b/>
          <w:i w:val="0"/>
          <w:color w:val="2B6CB0"/>
          <w:sz w:val="18"/>
        </w:rPr>
        <w:t xml:space="preserve">▪  </w:t>
      </w:r>
      <w:r>
        <w:rPr>
          <w:rFonts w:ascii="Consolas" w:hAnsi="Consolas"/>
          <w:b w:val="0"/>
          <w:i w:val="0"/>
          <w:color w:val="2C5282"/>
          <w:sz w:val="19"/>
        </w:rPr>
        <w:t>Content-Security-Policy</w:t>
      </w:r>
      <w:r>
        <w:rPr>
          <w:rFonts w:ascii="Calibri" w:hAnsi="Calibri"/>
          <w:b w:val="0"/>
          <w:i w:val="0"/>
          <w:color w:val="2D3748"/>
          <w:sz w:val="21"/>
        </w:rPr>
        <w:t xml:space="preserve"> (CSP): Restricts resource loading to mitigate XSS.</w:t>
      </w:r>
    </w:p>
    <w:p>
      <w:pPr>
        <w:spacing w:before="20" w:after="60" w:line="276" w:lineRule="auto"/>
        <w:ind w:left="360"/>
        <w:jc w:val="left"/>
      </w:pPr>
      <w:r>
        <w:rPr>
          <w:rFonts w:ascii="Calibri" w:hAnsi="Calibri"/>
          <w:b/>
          <w:i w:val="0"/>
          <w:color w:val="2B6CB0"/>
          <w:sz w:val="18"/>
        </w:rPr>
        <w:t xml:space="preserve">▪  </w:t>
      </w:r>
      <w:r>
        <w:rPr>
          <w:rFonts w:ascii="Consolas" w:hAnsi="Consolas"/>
          <w:b w:val="0"/>
          <w:i w:val="0"/>
          <w:color w:val="2C5282"/>
          <w:sz w:val="19"/>
        </w:rPr>
        <w:t>X-Content-Type-Options</w:t>
      </w:r>
      <w:r>
        <w:rPr>
          <w:rFonts w:ascii="Calibri" w:hAnsi="Calibri"/>
          <w:b w:val="0"/>
          <w:i w:val="0"/>
          <w:color w:val="2D3748"/>
          <w:sz w:val="21"/>
        </w:rPr>
        <w:t>: Prevents MIME-type sniffing (</w:t>
      </w:r>
      <w:r>
        <w:rPr>
          <w:rFonts w:ascii="Consolas" w:hAnsi="Consolas"/>
          <w:b w:val="0"/>
          <w:i w:val="0"/>
          <w:color w:val="2C5282"/>
          <w:sz w:val="19"/>
        </w:rPr>
        <w:t>nosniff</w:t>
      </w:r>
      <w:r>
        <w:rPr>
          <w:rFonts w:ascii="Calibri" w:hAnsi="Calibri"/>
          <w:b w:val="0"/>
          <w:i w:val="0"/>
          <w:color w:val="2D3748"/>
          <w:sz w:val="21"/>
        </w:rPr>
        <w:t>).</w:t>
      </w:r>
    </w:p>
    <w:p>
      <w:pPr>
        <w:spacing w:before="20" w:after="60" w:line="276" w:lineRule="auto"/>
        <w:ind w:left="360"/>
        <w:jc w:val="left"/>
      </w:pPr>
      <w:r>
        <w:rPr>
          <w:rFonts w:ascii="Calibri" w:hAnsi="Calibri"/>
          <w:b/>
          <w:i w:val="0"/>
          <w:color w:val="2B6CB0"/>
          <w:sz w:val="18"/>
        </w:rPr>
        <w:t xml:space="preserve">▪  </w:t>
      </w:r>
      <w:r>
        <w:rPr>
          <w:rFonts w:ascii="Consolas" w:hAnsi="Consolas"/>
          <w:b w:val="0"/>
          <w:i w:val="0"/>
          <w:color w:val="2C5282"/>
          <w:sz w:val="19"/>
        </w:rPr>
        <w:t>X-Frame-Options</w:t>
      </w:r>
      <w:r>
        <w:rPr>
          <w:rFonts w:ascii="Calibri" w:hAnsi="Calibri"/>
          <w:b w:val="0"/>
          <w:i w:val="0"/>
          <w:color w:val="2D3748"/>
          <w:sz w:val="21"/>
        </w:rPr>
        <w:t>: Defends against clickjacking attacks (</w:t>
      </w:r>
      <w:r>
        <w:rPr>
          <w:rFonts w:ascii="Consolas" w:hAnsi="Consolas"/>
          <w:b w:val="0"/>
          <w:i w:val="0"/>
          <w:color w:val="2C5282"/>
          <w:sz w:val="19"/>
        </w:rPr>
        <w:t>DENY</w:t>
      </w:r>
      <w:r>
        <w:rPr>
          <w:rFonts w:ascii="Calibri" w:hAnsi="Calibri"/>
          <w:b w:val="0"/>
          <w:i w:val="0"/>
          <w:color w:val="2D3748"/>
          <w:sz w:val="21"/>
        </w:rPr>
        <w:t xml:space="preserve"> or </w:t>
      </w:r>
      <w:r>
        <w:rPr>
          <w:rFonts w:ascii="Consolas" w:hAnsi="Consolas"/>
          <w:b w:val="0"/>
          <w:i w:val="0"/>
          <w:color w:val="2C5282"/>
          <w:sz w:val="19"/>
        </w:rPr>
        <w:t>SAMEORIGIN</w:t>
      </w:r>
      <w:r>
        <w:rPr>
          <w:rFonts w:ascii="Calibri" w:hAnsi="Calibri"/>
          <w:b w:val="0"/>
          <w:i w:val="0"/>
          <w:color w:val="2D3748"/>
          <w:sz w:val="21"/>
        </w:rPr>
        <w:t>).</w:t>
      </w:r>
    </w:p>
    <w:p>
      <w:pPr>
        <w:spacing w:before="20" w:after="60" w:line="276" w:lineRule="auto"/>
        <w:ind w:left="360"/>
        <w:jc w:val="left"/>
      </w:pPr>
      <w:r>
        <w:rPr>
          <w:rFonts w:ascii="Calibri" w:hAnsi="Calibri"/>
          <w:b/>
          <w:i w:val="0"/>
          <w:color w:val="2B6CB0"/>
          <w:sz w:val="18"/>
        </w:rPr>
        <w:t xml:space="preserve">▪  </w:t>
      </w:r>
      <w:r>
        <w:rPr>
          <w:rFonts w:ascii="Consolas" w:hAnsi="Consolas"/>
          <w:b w:val="0"/>
          <w:i w:val="0"/>
          <w:color w:val="2C5282"/>
          <w:sz w:val="19"/>
        </w:rPr>
        <w:t>Referrer-Policy</w:t>
      </w:r>
      <w:r>
        <w:rPr>
          <w:rFonts w:ascii="Calibri" w:hAnsi="Calibri"/>
          <w:b w:val="0"/>
          <w:i w:val="0"/>
          <w:color w:val="2D3748"/>
          <w:sz w:val="21"/>
        </w:rPr>
        <w:t>: Controls metadata leakage in HTTP referer headers.</w:t>
      </w:r>
    </w:p>
    <w:p>
      <w:pPr>
        <w:keepNext/>
        <w:spacing w:before="200" w:after="60" w:line="300" w:lineRule="auto"/>
        <w:jc w:val="left"/>
      </w:pPr>
      <w:r>
        <w:rPr>
          <w:rFonts w:ascii="Calibri" w:hAnsi="Calibri"/>
          <w:b/>
          <w:i w:val="0"/>
          <w:color w:val="2C5282"/>
          <w:sz w:val="25"/>
        </w:rPr>
        <w:t>12.4 Email Authentication &amp; DNSSEC Verification</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SPF Analysis:</w:t>
      </w:r>
      <w:r>
        <w:rPr>
          <w:rFonts w:ascii="Calibri" w:hAnsi="Calibri"/>
          <w:b w:val="0"/>
          <w:i w:val="0"/>
          <w:color w:val="2D3748"/>
          <w:sz w:val="21"/>
        </w:rPr>
        <w:t xml:space="preserve"> Validates SPF syntax, counts DNS lookup mechanisms, and flags permissive </w:t>
      </w:r>
      <w:r>
        <w:rPr>
          <w:rFonts w:ascii="Consolas" w:hAnsi="Consolas"/>
          <w:b w:val="0"/>
          <w:i w:val="0"/>
          <w:color w:val="2C5282"/>
          <w:sz w:val="19"/>
        </w:rPr>
        <w:t>+all</w:t>
      </w:r>
      <w:r>
        <w:rPr>
          <w:rFonts w:ascii="Calibri" w:hAnsi="Calibri"/>
          <w:b w:val="0"/>
          <w:i w:val="0"/>
          <w:color w:val="2D3748"/>
          <w:sz w:val="21"/>
        </w:rPr>
        <w:t xml:space="preserve"> or </w:t>
      </w:r>
      <w:r>
        <w:rPr>
          <w:rFonts w:ascii="Consolas" w:hAnsi="Consolas"/>
          <w:b w:val="0"/>
          <w:i w:val="0"/>
          <w:color w:val="2C5282"/>
          <w:sz w:val="19"/>
        </w:rPr>
        <w:t>~all</w:t>
      </w:r>
      <w:r>
        <w:rPr>
          <w:rFonts w:ascii="Calibri" w:hAnsi="Calibri"/>
          <w:b w:val="0"/>
          <w:i w:val="0"/>
          <w:color w:val="2D3748"/>
          <w:sz w:val="21"/>
        </w:rPr>
        <w:t xml:space="preserve"> configurations.</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DMARC Analysis:</w:t>
      </w:r>
      <w:r>
        <w:rPr>
          <w:rFonts w:ascii="Calibri" w:hAnsi="Calibri"/>
          <w:b w:val="0"/>
          <w:i w:val="0"/>
          <w:color w:val="2D3748"/>
          <w:sz w:val="21"/>
        </w:rPr>
        <w:t xml:space="preserve"> Checks for policy existence and flags weak policies (</w:t>
      </w:r>
      <w:r>
        <w:rPr>
          <w:rFonts w:ascii="Consolas" w:hAnsi="Consolas"/>
          <w:b w:val="0"/>
          <w:i w:val="0"/>
          <w:color w:val="2C5282"/>
          <w:sz w:val="19"/>
        </w:rPr>
        <w:t>p=none</w:t>
      </w:r>
      <w:r>
        <w:rPr>
          <w:rFonts w:ascii="Calibri" w:hAnsi="Calibri"/>
          <w:b w:val="0"/>
          <w:i w:val="0"/>
          <w:color w:val="2D3748"/>
          <w:sz w:val="21"/>
        </w:rPr>
        <w:t>) vs. enforced reject policies (</w:t>
      </w:r>
      <w:r>
        <w:rPr>
          <w:rFonts w:ascii="Consolas" w:hAnsi="Consolas"/>
          <w:b w:val="0"/>
          <w:i w:val="0"/>
          <w:color w:val="2C5282"/>
          <w:sz w:val="19"/>
        </w:rPr>
        <w:t>p=reject</w:t>
      </w:r>
      <w:r>
        <w:rPr>
          <w:rFonts w:ascii="Calibri" w:hAnsi="Calibri"/>
          <w:b w:val="0"/>
          <w:i w:val="0"/>
          <w:color w:val="2D3748"/>
          <w:sz w:val="21"/>
        </w:rPr>
        <w:t>).</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DNSSEC Hygiene:</w:t>
      </w:r>
      <w:r>
        <w:rPr>
          <w:rFonts w:ascii="Calibri" w:hAnsi="Calibri"/>
          <w:b w:val="0"/>
          <w:i w:val="0"/>
          <w:color w:val="2D3748"/>
          <w:sz w:val="21"/>
        </w:rPr>
        <w:t xml:space="preserve"> Queries authoritative nameservers for DNSKEY and DS records to confirm cryptographic authentication of DNS responses.</w:t>
      </w:r>
    </w:p>
    <w:p>
      <w:pPr>
        <w:keepNext/>
        <w:spacing w:before="200" w:after="60" w:line="300" w:lineRule="auto"/>
        <w:jc w:val="left"/>
      </w:pPr>
      <w:r>
        <w:rPr>
          <w:rFonts w:ascii="Calibri" w:hAnsi="Calibri"/>
          <w:b/>
          <w:i w:val="0"/>
          <w:color w:val="2C5282"/>
          <w:sz w:val="25"/>
        </w:rPr>
        <w:t>12.5 Passive Network Exposure &amp; CVE Enrichment</w:t>
      </w:r>
    </w:p>
    <w:p>
      <w:pPr>
        <w:spacing w:before="20" w:after="60" w:line="276" w:lineRule="auto"/>
        <w:ind w:left="360"/>
        <w:jc w:val="left"/>
      </w:pPr>
      <w:r>
        <w:rPr>
          <w:rFonts w:ascii="Calibri" w:hAnsi="Calibri"/>
          <w:b/>
          <w:i w:val="0"/>
          <w:color w:val="2B6CB0"/>
          <w:sz w:val="18"/>
        </w:rPr>
        <w:t xml:space="preserve">▪  </w:t>
      </w:r>
      <w:r>
        <w:rPr>
          <w:rFonts w:ascii="Calibri" w:hAnsi="Calibri"/>
          <w:b w:val="0"/>
          <w:i w:val="0"/>
          <w:color w:val="2D3748"/>
          <w:sz w:val="21"/>
        </w:rPr>
        <w:t>Integrates Shodan InternetDB to detect public exposed ports without executing active port scans.</w:t>
      </w:r>
    </w:p>
    <w:p>
      <w:pPr>
        <w:spacing w:before="20" w:after="60" w:line="276" w:lineRule="auto"/>
        <w:ind w:left="360"/>
        <w:jc w:val="left"/>
      </w:pPr>
      <w:r>
        <w:rPr>
          <w:rFonts w:ascii="Calibri" w:hAnsi="Calibri"/>
          <w:b/>
          <w:i w:val="0"/>
          <w:color w:val="2B6CB0"/>
          <w:sz w:val="18"/>
        </w:rPr>
        <w:t xml:space="preserve">▪  </w:t>
      </w:r>
      <w:r>
        <w:rPr>
          <w:rFonts w:ascii="Calibri" w:hAnsi="Calibri"/>
          <w:b w:val="0"/>
          <w:i w:val="0"/>
          <w:color w:val="2D3748"/>
          <w:sz w:val="21"/>
        </w:rPr>
        <w:t>Flags high-risk exposed database and remote management ports (e.g., MySQL 3306, RDP 3389, Redis 6379, SMB 445).</w:t>
      </w:r>
    </w:p>
    <w:p>
      <w:pPr>
        <w:spacing w:before="20" w:after="60" w:line="276" w:lineRule="auto"/>
        <w:ind w:left="360"/>
        <w:jc w:val="left"/>
      </w:pPr>
      <w:r>
        <w:rPr>
          <w:rFonts w:ascii="Calibri" w:hAnsi="Calibri"/>
          <w:b/>
          <w:i w:val="0"/>
          <w:color w:val="2B6CB0"/>
          <w:sz w:val="18"/>
        </w:rPr>
        <w:t xml:space="preserve">▪  </w:t>
      </w:r>
      <w:r>
        <w:rPr>
          <w:rFonts w:ascii="Calibri" w:hAnsi="Calibri"/>
          <w:b w:val="0"/>
          <w:i w:val="0"/>
          <w:color w:val="2D3748"/>
          <w:sz w:val="21"/>
        </w:rPr>
        <w:t>Identifies known Common Vulnerabilities and Exposures (CVEs) associated with observed host software versions.</w:t>
      </w:r>
    </w:p>
    <w:p>
      <w:pPr>
        <w:keepNext/>
        <w:spacing w:before="200" w:after="60" w:line="300" w:lineRule="auto"/>
        <w:jc w:val="left"/>
      </w:pPr>
      <w:r>
        <w:rPr>
          <w:rFonts w:ascii="Calibri" w:hAnsi="Calibri"/>
          <w:b/>
          <w:i w:val="0"/>
          <w:color w:val="2C5282"/>
          <w:sz w:val="25"/>
        </w:rPr>
        <w:t>12.6 Safe Cloud Storage &amp; Public Document Metadata</w:t>
      </w:r>
    </w:p>
    <w:p>
      <w:pPr>
        <w:spacing w:before="20" w:after="60" w:line="276" w:lineRule="auto"/>
        <w:ind w:left="360"/>
        <w:jc w:val="left"/>
      </w:pPr>
      <w:r>
        <w:rPr>
          <w:rFonts w:ascii="Calibri" w:hAnsi="Calibri"/>
          <w:b/>
          <w:i w:val="0"/>
          <w:color w:val="2B6CB0"/>
          <w:sz w:val="18"/>
        </w:rPr>
        <w:t xml:space="preserve">▪  </w:t>
      </w:r>
      <w:r>
        <w:rPr>
          <w:rFonts w:ascii="Calibri" w:hAnsi="Calibri"/>
          <w:b w:val="0"/>
          <w:i w:val="0"/>
          <w:color w:val="2D3748"/>
          <w:sz w:val="21"/>
        </w:rPr>
        <w:t xml:space="preserve">Performs non-intrusive </w:t>
      </w:r>
      <w:r>
        <w:rPr>
          <w:rFonts w:ascii="Consolas" w:hAnsi="Consolas"/>
          <w:b w:val="0"/>
          <w:i w:val="0"/>
          <w:color w:val="2C5282"/>
          <w:sz w:val="19"/>
        </w:rPr>
        <w:t>HEAD</w:t>
      </w:r>
      <w:r>
        <w:rPr>
          <w:rFonts w:ascii="Calibri" w:hAnsi="Calibri"/>
          <w:b w:val="0"/>
          <w:i w:val="0"/>
          <w:color w:val="2D3748"/>
          <w:sz w:val="21"/>
        </w:rPr>
        <w:t xml:space="preserve"> requests to verify public accessibility of cloud storage buckets (Amazon S3, Google Cloud Storage, Azure Blob Storage) without downloading object data.</w:t>
      </w:r>
    </w:p>
    <w:p>
      <w:pPr>
        <w:spacing w:before="20" w:after="60" w:line="276" w:lineRule="auto"/>
        <w:ind w:left="360"/>
        <w:jc w:val="left"/>
      </w:pPr>
      <w:r>
        <w:rPr>
          <w:rFonts w:ascii="Calibri" w:hAnsi="Calibri"/>
          <w:b/>
          <w:i w:val="0"/>
          <w:color w:val="2B6CB0"/>
          <w:sz w:val="18"/>
        </w:rPr>
        <w:t xml:space="preserve">▪  </w:t>
      </w:r>
      <w:r>
        <w:rPr>
          <w:rFonts w:ascii="Calibri" w:hAnsi="Calibri"/>
          <w:b w:val="0"/>
          <w:i w:val="0"/>
          <w:color w:val="2D3748"/>
          <w:sz w:val="21"/>
        </w:rPr>
        <w:t>Analyzes publicly exposed document metadata while strictly filtering out employee personal information to preserve privacy.</w:t>
      </w:r>
    </w:p>
    <w:p>
      <w:pPr>
        <w:keepNext/>
        <w:spacing w:before="200" w:after="60" w:line="300" w:lineRule="auto"/>
        <w:jc w:val="left"/>
      </w:pPr>
      <w:r>
        <w:rPr>
          <w:rFonts w:ascii="Calibri" w:hAnsi="Calibri"/>
          <w:b/>
          <w:i w:val="0"/>
          <w:color w:val="2C5282"/>
          <w:sz w:val="25"/>
        </w:rPr>
        <w:t>12.7 Epistemic Safety &amp; Scan Completeness</w:t>
      </w:r>
    </w:p>
    <w:p>
      <w:pPr>
        <w:spacing w:before="20" w:after="60" w:line="276" w:lineRule="auto"/>
        <w:ind w:left="360"/>
        <w:jc w:val="left"/>
      </w:pPr>
      <w:r>
        <w:rPr>
          <w:rFonts w:ascii="Calibri" w:hAnsi="Calibri"/>
          <w:b/>
          <w:i w:val="0"/>
          <w:color w:val="2B6CB0"/>
          <w:sz w:val="18"/>
        </w:rPr>
        <w:t xml:space="preserve">▪  </w:t>
      </w:r>
      <w:r>
        <w:rPr>
          <w:rFonts w:ascii="Calibri" w:hAnsi="Calibri"/>
          <w:b w:val="0"/>
          <w:i w:val="0"/>
          <w:color w:val="2D3748"/>
          <w:sz w:val="21"/>
        </w:rPr>
        <w:t>Every category result tracks a status (</w:t>
      </w:r>
      <w:r>
        <w:rPr>
          <w:rFonts w:ascii="Consolas" w:hAnsi="Consolas"/>
          <w:b w:val="0"/>
          <w:i w:val="0"/>
          <w:color w:val="2C5282"/>
          <w:sz w:val="19"/>
        </w:rPr>
        <w:t>pending</w:t>
      </w:r>
      <w:r>
        <w:rPr>
          <w:rFonts w:ascii="Calibri" w:hAnsi="Calibri"/>
          <w:b w:val="0"/>
          <w:i w:val="0"/>
          <w:color w:val="2D3748"/>
          <w:sz w:val="21"/>
        </w:rPr>
        <w:t xml:space="preserve">, </w:t>
      </w:r>
      <w:r>
        <w:rPr>
          <w:rFonts w:ascii="Consolas" w:hAnsi="Consolas"/>
          <w:b w:val="0"/>
          <w:i w:val="0"/>
          <w:color w:val="2C5282"/>
          <w:sz w:val="19"/>
        </w:rPr>
        <w:t>running</w:t>
      </w:r>
      <w:r>
        <w:rPr>
          <w:rFonts w:ascii="Calibri" w:hAnsi="Calibri"/>
          <w:b w:val="0"/>
          <w:i w:val="0"/>
          <w:color w:val="2D3748"/>
          <w:sz w:val="21"/>
        </w:rPr>
        <w:t xml:space="preserve">, </w:t>
      </w:r>
      <w:r>
        <w:rPr>
          <w:rFonts w:ascii="Consolas" w:hAnsi="Consolas"/>
          <w:b w:val="0"/>
          <w:i w:val="0"/>
          <w:color w:val="2C5282"/>
          <w:sz w:val="19"/>
        </w:rPr>
        <w:t>completed</w:t>
      </w:r>
      <w:r>
        <w:rPr>
          <w:rFonts w:ascii="Calibri" w:hAnsi="Calibri"/>
          <w:b w:val="0"/>
          <w:i w:val="0"/>
          <w:color w:val="2D3748"/>
          <w:sz w:val="21"/>
        </w:rPr>
        <w:t xml:space="preserve">, </w:t>
      </w:r>
      <w:r>
        <w:rPr>
          <w:rFonts w:ascii="Consolas" w:hAnsi="Consolas"/>
          <w:b w:val="0"/>
          <w:i w:val="0"/>
          <w:color w:val="2C5282"/>
          <w:sz w:val="19"/>
        </w:rPr>
        <w:t>failed</w:t>
      </w:r>
      <w:r>
        <w:rPr>
          <w:rFonts w:ascii="Calibri" w:hAnsi="Calibri"/>
          <w:b w:val="0"/>
          <w:i w:val="0"/>
          <w:color w:val="2D3748"/>
          <w:sz w:val="21"/>
        </w:rPr>
        <w:t>).</w:t>
      </w:r>
    </w:p>
    <w:p>
      <w:pPr>
        <w:spacing w:before="20" w:after="60" w:line="276" w:lineRule="auto"/>
        <w:ind w:left="360"/>
        <w:jc w:val="left"/>
      </w:pPr>
      <w:r>
        <w:rPr>
          <w:rFonts w:ascii="Calibri" w:hAnsi="Calibri"/>
          <w:b/>
          <w:i w:val="0"/>
          <w:color w:val="2B6CB0"/>
          <w:sz w:val="18"/>
        </w:rPr>
        <w:t xml:space="preserve">▪  </w:t>
      </w:r>
      <w:r>
        <w:rPr>
          <w:rFonts w:ascii="Calibri" w:hAnsi="Calibri"/>
          <w:b w:val="0"/>
          <w:i w:val="0"/>
          <w:color w:val="2D3748"/>
          <w:sz w:val="21"/>
        </w:rPr>
        <w:t>Scan records calculate overall completeness metrics (</w:t>
      </w:r>
      <w:r>
        <w:rPr>
          <w:rFonts w:ascii="Consolas" w:hAnsi="Consolas"/>
          <w:b w:val="0"/>
          <w:i w:val="0"/>
          <w:color w:val="2C5282"/>
          <w:sz w:val="19"/>
        </w:rPr>
        <w:t>completed</w:t>
      </w:r>
      <w:r>
        <w:rPr>
          <w:rFonts w:ascii="Calibri" w:hAnsi="Calibri"/>
          <w:b w:val="0"/>
          <w:i w:val="0"/>
          <w:color w:val="2D3748"/>
          <w:sz w:val="21"/>
        </w:rPr>
        <w:t xml:space="preserve">, </w:t>
      </w:r>
      <w:r>
        <w:rPr>
          <w:rFonts w:ascii="Consolas" w:hAnsi="Consolas"/>
          <w:b w:val="0"/>
          <w:i w:val="0"/>
          <w:color w:val="2C5282"/>
          <w:sz w:val="19"/>
        </w:rPr>
        <w:t>total</w:t>
      </w:r>
      <w:r>
        <w:rPr>
          <w:rFonts w:ascii="Calibri" w:hAnsi="Calibri"/>
          <w:b w:val="0"/>
          <w:i w:val="0"/>
          <w:color w:val="2D3748"/>
          <w:sz w:val="21"/>
        </w:rPr>
        <w:t xml:space="preserve">, </w:t>
      </w:r>
      <w:r>
        <w:rPr>
          <w:rFonts w:ascii="Consolas" w:hAnsi="Consolas"/>
          <w:b w:val="0"/>
          <w:i w:val="0"/>
          <w:color w:val="2C5282"/>
          <w:sz w:val="19"/>
        </w:rPr>
        <w:t>failed[]</w:t>
      </w:r>
      <w:r>
        <w:rPr>
          <w:rFonts w:ascii="Calibri" w:hAnsi="Calibri"/>
          <w:b w:val="0"/>
          <w:i w:val="0"/>
          <w:color w:val="2D3748"/>
          <w:sz w:val="21"/>
        </w:rPr>
        <w:t>).</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Epistemic Rule:</w:t>
      </w:r>
      <w:r>
        <w:rPr>
          <w:rFonts w:ascii="Calibri" w:hAnsi="Calibri"/>
          <w:b w:val="0"/>
          <w:i w:val="0"/>
          <w:color w:val="2D3748"/>
          <w:sz w:val="21"/>
        </w:rPr>
        <w:t xml:space="preserve"> A category with status </w:t>
      </w:r>
      <w:r>
        <w:rPr>
          <w:rFonts w:ascii="Consolas" w:hAnsi="Consolas"/>
          <w:b w:val="0"/>
          <w:i w:val="0"/>
          <w:color w:val="2C5282"/>
          <w:sz w:val="19"/>
        </w:rPr>
        <w:t>failed</w:t>
      </w:r>
      <w:r>
        <w:rPr>
          <w:rFonts w:ascii="Calibri" w:hAnsi="Calibri"/>
          <w:b w:val="0"/>
          <w:i w:val="0"/>
          <w:color w:val="2D3748"/>
          <w:sz w:val="21"/>
        </w:rPr>
        <w:t xml:space="preserve"> records diagnostic warnings but </w:t>
      </w:r>
      <w:r>
        <w:rPr>
          <w:rFonts w:ascii="Calibri" w:hAnsi="Calibri"/>
          <w:b/>
          <w:i w:val="0"/>
          <w:color w:val="2D3748"/>
          <w:sz w:val="21"/>
        </w:rPr>
        <w:t>never causes negative score deductions</w:t>
      </w:r>
      <w:r>
        <w:rPr>
          <w:rFonts w:ascii="Calibri" w:hAnsi="Calibri"/>
          <w:b w:val="0"/>
          <w:i w:val="0"/>
          <w:color w:val="2D3748"/>
          <w:sz w:val="21"/>
        </w:rPr>
        <w:t>.</w:t>
      </w:r>
    </w:p>
    <w:p>
      <w:pPr>
        <w:keepNext/>
        <w:spacing w:before="200" w:after="60" w:line="300" w:lineRule="auto"/>
        <w:jc w:val="left"/>
      </w:pPr>
      <w:r>
        <w:rPr>
          <w:rFonts w:ascii="Calibri" w:hAnsi="Calibri"/>
          <w:b/>
          <w:i w:val="0"/>
          <w:color w:val="2C5282"/>
          <w:sz w:val="25"/>
        </w:rPr>
        <w:t>12.8 Dual Privacy &amp; Authentication Model</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Anonymous Mode:</w:t>
      </w:r>
      <w:r>
        <w:rPr>
          <w:rFonts w:ascii="Calibri" w:hAnsi="Calibri"/>
          <w:b w:val="0"/>
          <w:i w:val="0"/>
          <w:color w:val="2D3748"/>
          <w:sz w:val="21"/>
        </w:rPr>
        <w:t xml:space="preserve"> 0 cookies; 5 scans/hour; volatile 24-hour retention; local browser history cache.</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Registered Mode:</w:t>
      </w:r>
      <w:r>
        <w:rPr>
          <w:rFonts w:ascii="Calibri" w:hAnsi="Calibri"/>
          <w:b w:val="0"/>
          <w:i w:val="0"/>
          <w:color w:val="2D3748"/>
          <w:sz w:val="21"/>
        </w:rPr>
        <w:t xml:space="preserve"> Scrypt password security; 50 scans/hour; cross-device scan history; multi-scan comparison diffs.</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Self-Service Deletion:</w:t>
      </w:r>
      <w:r>
        <w:rPr>
          <w:rFonts w:ascii="Calibri" w:hAnsi="Calibri"/>
          <w:b w:val="0"/>
          <w:i w:val="0"/>
          <w:color w:val="2D3748"/>
          <w:sz w:val="21"/>
        </w:rPr>
        <w:t xml:space="preserve"> Immediate cascading deletion (</w:t>
      </w:r>
      <w:r>
        <w:rPr>
          <w:rFonts w:ascii="Consolas" w:hAnsi="Consolas"/>
          <w:b w:val="0"/>
          <w:i w:val="0"/>
          <w:color w:val="2C5282"/>
          <w:sz w:val="19"/>
        </w:rPr>
        <w:t>DELETE /api/auth/me</w:t>
      </w:r>
      <w:r>
        <w:rPr>
          <w:rFonts w:ascii="Calibri" w:hAnsi="Calibri"/>
          <w:b w:val="0"/>
          <w:i w:val="0"/>
          <w:color w:val="2D3748"/>
          <w:sz w:val="21"/>
        </w:rPr>
        <w:t>) purges user credentials, sessions, scan histories, and quota records.</w:t>
      </w:r>
    </w:p>
    <w:p>
      <w:pPr>
        <w:spacing w:before="120" w:after="120" w:line="300" w:lineRule="auto"/>
        <w:jc w:val="center"/>
      </w:pPr>
      <w:r>
        <w:rPr>
          <w:color w:val="E2E8F0"/>
          <w:sz w:val="20"/>
        </w:rPr>
        <w:t>―――――――――――――――――――――――――――――――――――――――――――――――――――――――</w:t>
      </w:r>
    </w:p>
    <w:p>
      <w:pPr>
        <w:keepNext/>
        <w:spacing w:before="280" w:after="80" w:line="300" w:lineRule="auto"/>
        <w:jc w:val="left"/>
      </w:pPr>
      <w:r>
        <w:rPr>
          <w:rFonts w:ascii="Calibri" w:hAnsi="Calibri"/>
          <w:b/>
          <w:i w:val="0"/>
          <w:color w:val="2B6CB0"/>
          <w:sz w:val="30"/>
        </w:rPr>
        <w:t>13. FINDINGS AND SCORING</w:t>
      </w:r>
    </w:p>
    <w:p>
      <w:pPr>
        <w:keepNext/>
        <w:spacing w:before="200" w:after="60" w:line="300" w:lineRule="auto"/>
        <w:jc w:val="left"/>
      </w:pPr>
      <w:r>
        <w:rPr>
          <w:rFonts w:ascii="Calibri" w:hAnsi="Calibri"/>
          <w:b/>
          <w:i w:val="0"/>
          <w:color w:val="2C5282"/>
          <w:sz w:val="25"/>
        </w:rPr>
        <w:t>13.1 Deterministic Findings Engine</w:t>
      </w:r>
    </w:p>
    <w:p>
      <w:pPr>
        <w:spacing w:before="40" w:after="120" w:line="300" w:lineRule="auto"/>
        <w:jc w:val="both"/>
      </w:pPr>
      <w:r>
        <w:rPr>
          <w:rFonts w:ascii="Calibri" w:hAnsi="Calibri"/>
          <w:b w:val="0"/>
          <w:i w:val="0"/>
          <w:color w:val="2D3748"/>
          <w:sz w:val="22"/>
        </w:rPr>
        <w:t xml:space="preserve">The findings engine in </w:t>
      </w:r>
      <w:r>
        <w:rPr>
          <w:rFonts w:ascii="Consolas" w:hAnsi="Consolas"/>
          <w:b w:val="0"/>
          <w:i w:val="0"/>
          <w:color w:val="2C5282"/>
          <w:sz w:val="20"/>
        </w:rPr>
        <w:t>server/src/services/findings.ts</w:t>
      </w:r>
      <w:r>
        <w:rPr>
          <w:rFonts w:ascii="Calibri" w:hAnsi="Calibri"/>
          <w:b w:val="0"/>
          <w:i w:val="0"/>
          <w:color w:val="2D3748"/>
          <w:sz w:val="22"/>
        </w:rPr>
        <w:t xml:space="preserve"> evaluates normalized scan data against 21 deterministic rules:</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Rules 1–4 (HTTP &amp; TLS):</w:t>
      </w:r>
      <w:r>
        <w:rPr>
          <w:rFonts w:ascii="Calibri" w:hAnsi="Calibri"/>
          <w:b w:val="0"/>
          <w:i w:val="0"/>
          <w:color w:val="2D3748"/>
          <w:sz w:val="21"/>
        </w:rPr>
        <w:t xml:space="preserve"> HTTPS enforcement, HTTP-only fallback, missing security headers, incomplete TLS certificate chains.</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Rules 5–7 (Certificates):</w:t>
      </w:r>
      <w:r>
        <w:rPr>
          <w:rFonts w:ascii="Calibri" w:hAnsi="Calibri"/>
          <w:b w:val="0"/>
          <w:i w:val="0"/>
          <w:color w:val="2D3748"/>
          <w:sz w:val="21"/>
        </w:rPr>
        <w:t xml:space="preserve"> Imminent certificate expiration (&lt;=7 days or &lt;=30 days), wildcard certificate usage, weak signature algorithms (e.g., SHA-1).</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Rules 8–14 (Email &amp; DNS):</w:t>
      </w:r>
      <w:r>
        <w:rPr>
          <w:rFonts w:ascii="Calibri" w:hAnsi="Calibri"/>
          <w:b w:val="0"/>
          <w:i w:val="0"/>
          <w:color w:val="2D3748"/>
          <w:sz w:val="21"/>
        </w:rPr>
        <w:t xml:space="preserve"> Missing SPF, overly permissive SPF (</w:t>
      </w:r>
      <w:r>
        <w:rPr>
          <w:rFonts w:ascii="Consolas" w:hAnsi="Consolas"/>
          <w:b w:val="0"/>
          <w:i w:val="0"/>
          <w:color w:val="2C5282"/>
          <w:sz w:val="19"/>
        </w:rPr>
        <w:t>+all</w:t>
      </w:r>
      <w:r>
        <w:rPr>
          <w:rFonts w:ascii="Calibri" w:hAnsi="Calibri"/>
          <w:b w:val="0"/>
          <w:i w:val="0"/>
          <w:color w:val="2D3748"/>
          <w:sz w:val="21"/>
        </w:rPr>
        <w:t>), excessive SPF DNS lookups (&gt;10), missing DMARC, weak DMARC policy (</w:t>
      </w:r>
      <w:r>
        <w:rPr>
          <w:rFonts w:ascii="Consolas" w:hAnsi="Consolas"/>
          <w:b w:val="0"/>
          <w:i w:val="0"/>
          <w:color w:val="2C5282"/>
          <w:sz w:val="19"/>
        </w:rPr>
        <w:t>p=none</w:t>
      </w:r>
      <w:r>
        <w:rPr>
          <w:rFonts w:ascii="Calibri" w:hAnsi="Calibri"/>
          <w:b w:val="0"/>
          <w:i w:val="0"/>
          <w:color w:val="2D3748"/>
          <w:sz w:val="21"/>
        </w:rPr>
        <w:t>), missing DMARC reporting addresses, missing DNSSEC.</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Rules 15–21 (Exposure &amp; Information Disclosure):</w:t>
      </w:r>
      <w:r>
        <w:rPr>
          <w:rFonts w:ascii="Calibri" w:hAnsi="Calibri"/>
          <w:b w:val="0"/>
          <w:i w:val="0"/>
          <w:color w:val="2D3748"/>
          <w:sz w:val="21"/>
        </w:rPr>
        <w:t xml:space="preserve"> Verbose </w:t>
      </w:r>
      <w:r>
        <w:rPr>
          <w:rFonts w:ascii="Consolas" w:hAnsi="Consolas"/>
          <w:b w:val="0"/>
          <w:i w:val="0"/>
          <w:color w:val="2C5282"/>
          <w:sz w:val="19"/>
        </w:rPr>
        <w:t>Server</w:t>
      </w:r>
      <w:r>
        <w:rPr>
          <w:rFonts w:ascii="Calibri" w:hAnsi="Calibri"/>
          <w:b w:val="0"/>
          <w:i w:val="0"/>
          <w:color w:val="2D3748"/>
          <w:sz w:val="21"/>
        </w:rPr>
        <w:t xml:space="preserve"> banners, </w:t>
      </w:r>
      <w:r>
        <w:rPr>
          <w:rFonts w:ascii="Consolas" w:hAnsi="Consolas"/>
          <w:b w:val="0"/>
          <w:i w:val="0"/>
          <w:color w:val="2C5282"/>
          <w:sz w:val="19"/>
        </w:rPr>
        <w:t>X-Powered-By</w:t>
      </w:r>
      <w:r>
        <w:rPr>
          <w:rFonts w:ascii="Calibri" w:hAnsi="Calibri"/>
          <w:b w:val="0"/>
          <w:i w:val="0"/>
          <w:color w:val="2D3748"/>
          <w:sz w:val="21"/>
        </w:rPr>
        <w:t xml:space="preserve"> technology leakage, upcoming domain registration expiration, elevated subdomain attack surface, missing </w:t>
      </w:r>
      <w:r>
        <w:rPr>
          <w:rFonts w:ascii="Consolas" w:hAnsi="Consolas"/>
          <w:b w:val="0"/>
          <w:i w:val="0"/>
          <w:color w:val="2C5282"/>
          <w:sz w:val="19"/>
        </w:rPr>
        <w:t>security.txt</w:t>
      </w:r>
      <w:r>
        <w:rPr>
          <w:rFonts w:ascii="Calibri" w:hAnsi="Calibri"/>
          <w:b w:val="0"/>
          <w:i w:val="0"/>
          <w:color w:val="2D3748"/>
          <w:sz w:val="21"/>
        </w:rPr>
        <w:t xml:space="preserve"> vulnerability disclosure file.</w:t>
      </w:r>
    </w:p>
    <w:p>
      <w:pPr>
        <w:spacing w:before="40" w:after="120" w:line="300" w:lineRule="auto"/>
        <w:jc w:val="both"/>
      </w:pPr>
      <w:r>
        <w:rPr>
          <w:rFonts w:ascii="Calibri" w:hAnsi="Calibri"/>
          <w:b w:val="0"/>
          <w:i w:val="0"/>
          <w:color w:val="2D3748"/>
          <w:sz w:val="22"/>
        </w:rPr>
        <w:t>Each finding is enriched with a structured 10-section analysis:</w:t>
      </w:r>
    </w:p>
    <w:p>
      <w:pPr>
        <w:spacing w:before="20" w:after="60" w:line="276" w:lineRule="auto"/>
        <w:ind w:left="360"/>
        <w:jc w:val="left"/>
      </w:pPr>
      <w:r>
        <w:rPr>
          <w:rFonts w:ascii="Calibri" w:hAnsi="Calibri"/>
          <w:b/>
          <w:i w:val="0"/>
          <w:color w:val="2B6CB0"/>
          <w:sz w:val="21"/>
        </w:rPr>
        <w:t xml:space="preserve">1.  </w:t>
      </w:r>
      <w:r>
        <w:rPr>
          <w:rFonts w:ascii="Consolas" w:hAnsi="Consolas"/>
          <w:b w:val="0"/>
          <w:i w:val="0"/>
          <w:color w:val="2C5282"/>
          <w:sz w:val="19"/>
        </w:rPr>
        <w:t>whatIsThis</w:t>
      </w:r>
      <w:r>
        <w:rPr>
          <w:rFonts w:ascii="Calibri" w:hAnsi="Calibri"/>
          <w:b w:val="0"/>
          <w:i w:val="0"/>
          <w:color w:val="2D3748"/>
          <w:sz w:val="21"/>
        </w:rPr>
        <w:t>: Plain-language explanation of the technology.</w:t>
      </w:r>
    </w:p>
    <w:p>
      <w:pPr>
        <w:spacing w:before="20" w:after="60" w:line="276" w:lineRule="auto"/>
        <w:ind w:left="360"/>
        <w:jc w:val="left"/>
      </w:pPr>
      <w:r>
        <w:rPr>
          <w:rFonts w:ascii="Calibri" w:hAnsi="Calibri"/>
          <w:b/>
          <w:i w:val="0"/>
          <w:color w:val="2B6CB0"/>
          <w:sz w:val="21"/>
        </w:rPr>
        <w:t xml:space="preserve">2.  </w:t>
      </w:r>
      <w:r>
        <w:rPr>
          <w:rFonts w:ascii="Consolas" w:hAnsi="Consolas"/>
          <w:b w:val="0"/>
          <w:i w:val="0"/>
          <w:color w:val="2C5282"/>
          <w:sz w:val="19"/>
        </w:rPr>
        <w:t>whatWasObserved</w:t>
      </w:r>
      <w:r>
        <w:rPr>
          <w:rFonts w:ascii="Calibri" w:hAnsi="Calibri"/>
          <w:b w:val="0"/>
          <w:i w:val="0"/>
          <w:color w:val="2D3748"/>
          <w:sz w:val="21"/>
        </w:rPr>
        <w:t>: The precise evidence collected during the scan.</w:t>
      </w:r>
    </w:p>
    <w:p>
      <w:pPr>
        <w:spacing w:before="20" w:after="60" w:line="276" w:lineRule="auto"/>
        <w:ind w:left="360"/>
        <w:jc w:val="left"/>
      </w:pPr>
      <w:r>
        <w:rPr>
          <w:rFonts w:ascii="Calibri" w:hAnsi="Calibri"/>
          <w:b/>
          <w:i w:val="0"/>
          <w:color w:val="2B6CB0"/>
          <w:sz w:val="21"/>
        </w:rPr>
        <w:t xml:space="preserve">3.  </w:t>
      </w:r>
      <w:r>
        <w:rPr>
          <w:rFonts w:ascii="Consolas" w:hAnsi="Consolas"/>
          <w:b w:val="0"/>
          <w:i w:val="0"/>
          <w:color w:val="2C5282"/>
          <w:sz w:val="19"/>
        </w:rPr>
        <w:t>howDiscovered</w:t>
      </w:r>
      <w:r>
        <w:rPr>
          <w:rFonts w:ascii="Calibri" w:hAnsi="Calibri"/>
          <w:b w:val="0"/>
          <w:i w:val="0"/>
          <w:color w:val="2D3748"/>
          <w:sz w:val="21"/>
        </w:rPr>
        <w:t>: The passive mechanism that gathered the evidence.</w:t>
      </w:r>
    </w:p>
    <w:p>
      <w:pPr>
        <w:spacing w:before="20" w:after="60" w:line="276" w:lineRule="auto"/>
        <w:ind w:left="360"/>
        <w:jc w:val="left"/>
      </w:pPr>
      <w:r>
        <w:rPr>
          <w:rFonts w:ascii="Calibri" w:hAnsi="Calibri"/>
          <w:b/>
          <w:i w:val="0"/>
          <w:color w:val="2B6CB0"/>
          <w:sz w:val="21"/>
        </w:rPr>
        <w:t xml:space="preserve">4.  </w:t>
      </w:r>
      <w:r>
        <w:rPr>
          <w:rFonts w:ascii="Consolas" w:hAnsi="Consolas"/>
          <w:b w:val="0"/>
          <w:i w:val="0"/>
          <w:color w:val="2C5282"/>
          <w:sz w:val="19"/>
        </w:rPr>
        <w:t>technicalExplanation</w:t>
      </w:r>
      <w:r>
        <w:rPr>
          <w:rFonts w:ascii="Calibri" w:hAnsi="Calibri"/>
          <w:b w:val="0"/>
          <w:i w:val="0"/>
          <w:color w:val="2D3748"/>
          <w:sz w:val="21"/>
        </w:rPr>
        <w:t>: Technical meaning of the observation.</w:t>
      </w:r>
    </w:p>
    <w:p>
      <w:pPr>
        <w:spacing w:before="20" w:after="60" w:line="276" w:lineRule="auto"/>
        <w:ind w:left="360"/>
        <w:jc w:val="left"/>
      </w:pPr>
      <w:r>
        <w:rPr>
          <w:rFonts w:ascii="Calibri" w:hAnsi="Calibri"/>
          <w:b/>
          <w:i w:val="0"/>
          <w:color w:val="2B6CB0"/>
          <w:sz w:val="21"/>
        </w:rPr>
        <w:t xml:space="preserve">5.  </w:t>
      </w:r>
      <w:r>
        <w:rPr>
          <w:rFonts w:ascii="Consolas" w:hAnsi="Consolas"/>
          <w:b w:val="0"/>
          <w:i w:val="0"/>
          <w:color w:val="2C5282"/>
          <w:sz w:val="19"/>
        </w:rPr>
        <w:t>whyItMatters</w:t>
      </w:r>
      <w:r>
        <w:rPr>
          <w:rFonts w:ascii="Calibri" w:hAnsi="Calibri"/>
          <w:b w:val="0"/>
          <w:i w:val="0"/>
          <w:color w:val="2D3748"/>
          <w:sz w:val="21"/>
        </w:rPr>
        <w:t>: Practical security relevance.</w:t>
      </w:r>
    </w:p>
    <w:p>
      <w:pPr>
        <w:spacing w:before="20" w:after="60" w:line="276" w:lineRule="auto"/>
        <w:ind w:left="360"/>
        <w:jc w:val="left"/>
      </w:pPr>
      <w:r>
        <w:rPr>
          <w:rFonts w:ascii="Calibri" w:hAnsi="Calibri"/>
          <w:b/>
          <w:i w:val="0"/>
          <w:color w:val="2B6CB0"/>
          <w:sz w:val="21"/>
        </w:rPr>
        <w:t xml:space="preserve">6.  </w:t>
      </w:r>
      <w:r>
        <w:rPr>
          <w:rFonts w:ascii="Consolas" w:hAnsi="Consolas"/>
          <w:b w:val="0"/>
          <w:i w:val="0"/>
          <w:color w:val="2C5282"/>
          <w:sz w:val="19"/>
        </w:rPr>
        <w:t>securityImpact</w:t>
      </w:r>
      <w:r>
        <w:rPr>
          <w:rFonts w:ascii="Calibri" w:hAnsi="Calibri"/>
          <w:b w:val="0"/>
          <w:i w:val="0"/>
          <w:color w:val="2D3748"/>
          <w:sz w:val="21"/>
        </w:rPr>
        <w:t>: Realistic assessment of defensive impact.</w:t>
      </w:r>
    </w:p>
    <w:p>
      <w:pPr>
        <w:spacing w:before="20" w:after="60" w:line="276" w:lineRule="auto"/>
        <w:ind w:left="360"/>
        <w:jc w:val="left"/>
      </w:pPr>
      <w:r>
        <w:rPr>
          <w:rFonts w:ascii="Calibri" w:hAnsi="Calibri"/>
          <w:b/>
          <w:i w:val="0"/>
          <w:color w:val="2B6CB0"/>
          <w:sz w:val="21"/>
        </w:rPr>
        <w:t xml:space="preserve">7.  </w:t>
      </w:r>
      <w:r>
        <w:rPr>
          <w:rFonts w:ascii="Consolas" w:hAnsi="Consolas"/>
          <w:b w:val="0"/>
          <w:i w:val="0"/>
          <w:color w:val="2C5282"/>
          <w:sz w:val="19"/>
        </w:rPr>
        <w:t>potentialAbuse</w:t>
      </w:r>
      <w:r>
        <w:rPr>
          <w:rFonts w:ascii="Calibri" w:hAnsi="Calibri"/>
          <w:b w:val="0"/>
          <w:i w:val="0"/>
          <w:color w:val="2D3748"/>
          <w:sz w:val="21"/>
        </w:rPr>
        <w:t>: High-level explanation of potential attacker leverage.</w:t>
      </w:r>
    </w:p>
    <w:p>
      <w:pPr>
        <w:spacing w:before="20" w:after="60" w:line="276" w:lineRule="auto"/>
        <w:ind w:left="360"/>
        <w:jc w:val="left"/>
      </w:pPr>
      <w:r>
        <w:rPr>
          <w:rFonts w:ascii="Calibri" w:hAnsi="Calibri"/>
          <w:b/>
          <w:i w:val="0"/>
          <w:color w:val="2B6CB0"/>
          <w:sz w:val="21"/>
        </w:rPr>
        <w:t xml:space="preserve">8.  </w:t>
      </w:r>
      <w:r>
        <w:rPr>
          <w:rFonts w:ascii="Consolas" w:hAnsi="Consolas"/>
          <w:b w:val="0"/>
          <w:i w:val="0"/>
          <w:color w:val="2C5282"/>
          <w:sz w:val="19"/>
        </w:rPr>
        <w:t>remediation</w:t>
      </w:r>
      <w:r>
        <w:rPr>
          <w:rFonts w:ascii="Calibri" w:hAnsi="Calibri"/>
          <w:b w:val="0"/>
          <w:i w:val="0"/>
          <w:color w:val="2D3748"/>
          <w:sz w:val="21"/>
        </w:rPr>
        <w:t>: Step-by-step guidance to fix the issue.</w:t>
      </w:r>
    </w:p>
    <w:p>
      <w:pPr>
        <w:spacing w:before="20" w:after="60" w:line="276" w:lineRule="auto"/>
        <w:ind w:left="360"/>
        <w:jc w:val="left"/>
      </w:pPr>
      <w:r>
        <w:rPr>
          <w:rFonts w:ascii="Calibri" w:hAnsi="Calibri"/>
          <w:b/>
          <w:i w:val="0"/>
          <w:color w:val="2B6CB0"/>
          <w:sz w:val="21"/>
        </w:rPr>
        <w:t xml:space="preserve">9.  </w:t>
      </w:r>
      <w:r>
        <w:rPr>
          <w:rFonts w:ascii="Consolas" w:hAnsi="Consolas"/>
          <w:b w:val="0"/>
          <w:i w:val="0"/>
          <w:color w:val="2C5282"/>
          <w:sz w:val="19"/>
        </w:rPr>
        <w:t>safeValidation</w:t>
      </w:r>
      <w:r>
        <w:rPr>
          <w:rFonts w:ascii="Calibri" w:hAnsi="Calibri"/>
          <w:b w:val="0"/>
          <w:i w:val="0"/>
          <w:color w:val="2D3748"/>
          <w:sz w:val="21"/>
        </w:rPr>
        <w:t>: How to verify the fix in test environments.</w:t>
      </w:r>
    </w:p>
    <w:p>
      <w:pPr>
        <w:spacing w:before="20" w:after="60" w:line="276" w:lineRule="auto"/>
        <w:ind w:left="360"/>
        <w:jc w:val="left"/>
      </w:pPr>
      <w:r>
        <w:rPr>
          <w:rFonts w:ascii="Calibri" w:hAnsi="Calibri"/>
          <w:b/>
          <w:i w:val="0"/>
          <w:color w:val="2B6CB0"/>
          <w:sz w:val="21"/>
        </w:rPr>
        <w:t xml:space="preserve">10.  </w:t>
      </w:r>
      <w:r>
        <w:rPr>
          <w:rFonts w:ascii="Consolas" w:hAnsi="Consolas"/>
          <w:b w:val="0"/>
          <w:i w:val="0"/>
          <w:color w:val="2C5282"/>
          <w:sz w:val="19"/>
        </w:rPr>
        <w:t>references</w:t>
      </w:r>
      <w:r>
        <w:rPr>
          <w:rFonts w:ascii="Calibri" w:hAnsi="Calibri"/>
          <w:b w:val="0"/>
          <w:i w:val="0"/>
          <w:color w:val="2D3748"/>
          <w:sz w:val="21"/>
        </w:rPr>
        <w:t>: Authoritative RFCs and industry standards.</w:t>
      </w:r>
    </w:p>
    <w:p>
      <w:pPr>
        <w:keepNext/>
        <w:spacing w:before="200" w:after="60" w:line="300" w:lineRule="auto"/>
        <w:jc w:val="left"/>
      </w:pPr>
      <w:r>
        <w:rPr>
          <w:rFonts w:ascii="Calibri" w:hAnsi="Calibri"/>
          <w:b/>
          <w:i w:val="0"/>
          <w:color w:val="2C5282"/>
          <w:sz w:val="25"/>
        </w:rPr>
        <w:t>13.2 The Current External Hygiene Score (v1) Model</w:t>
      </w:r>
    </w:p>
    <w:p>
      <w:pPr>
        <w:spacing w:before="40" w:after="120" w:line="300" w:lineRule="auto"/>
        <w:jc w:val="both"/>
      </w:pPr>
      <w:r>
        <w:rPr>
          <w:rFonts w:ascii="Calibri" w:hAnsi="Calibri"/>
          <w:b w:val="0"/>
          <w:i w:val="0"/>
          <w:color w:val="2D3748"/>
          <w:sz w:val="22"/>
        </w:rPr>
        <w:t xml:space="preserve">The scoring engine implemented in </w:t>
      </w:r>
      <w:r>
        <w:rPr>
          <w:rFonts w:ascii="Consolas" w:hAnsi="Consolas"/>
          <w:b w:val="0"/>
          <w:i w:val="0"/>
          <w:color w:val="2C5282"/>
          <w:sz w:val="20"/>
        </w:rPr>
        <w:t>server/src/services/scoring.ts</w:t>
      </w:r>
      <w:r>
        <w:rPr>
          <w:rFonts w:ascii="Calibri" w:hAnsi="Calibri"/>
          <w:b w:val="0"/>
          <w:i w:val="0"/>
          <w:color w:val="2D3748"/>
          <w:sz w:val="22"/>
        </w:rPr>
        <w:t xml:space="preserve"> calculates a 0–100 integer rating representing observable configuration posture.</w:t>
      </w:r>
    </w:p>
    <w:p>
      <w:pPr>
        <w:keepNext/>
        <w:spacing w:before="160" w:after="40" w:line="300" w:lineRule="auto"/>
        <w:jc w:val="left"/>
      </w:pPr>
      <w:r>
        <w:rPr>
          <w:rFonts w:ascii="Calibri" w:hAnsi="Calibri"/>
          <w:b/>
          <w:i w:val="0"/>
          <w:color w:val="2D3748"/>
          <w:sz w:val="22"/>
        </w:rPr>
        <w:t>Core Mathematical Rules</w:t>
      </w:r>
    </w:p>
    <w:p>
      <w:pPr>
        <w:spacing w:before="20" w:after="60" w:line="276" w:lineRule="auto"/>
        <w:ind w:left="360"/>
        <w:jc w:val="left"/>
      </w:pPr>
      <w:r>
        <w:rPr>
          <w:rFonts w:ascii="Calibri" w:hAnsi="Calibri"/>
          <w:b/>
          <w:i w:val="0"/>
          <w:color w:val="2B6CB0"/>
          <w:sz w:val="21"/>
        </w:rPr>
        <w:t xml:space="preserve">1.  </w:t>
      </w:r>
      <w:r>
        <w:rPr>
          <w:rFonts w:ascii="Calibri" w:hAnsi="Calibri"/>
          <w:b/>
          <w:i w:val="0"/>
          <w:color w:val="2D3748"/>
          <w:sz w:val="21"/>
        </w:rPr>
        <w:t>Single Source of Truth:</w:t>
      </w:r>
      <w:r>
        <w:rPr>
          <w:rFonts w:ascii="Calibri" w:hAnsi="Calibri"/>
          <w:b w:val="0"/>
          <w:i w:val="0"/>
          <w:color w:val="2D3748"/>
          <w:sz w:val="21"/>
        </w:rPr>
        <w:t xml:space="preserve"> </w:t>
      </w:r>
      <w:r>
        <w:rPr>
          <w:rFonts w:ascii="Consolas" w:hAnsi="Consolas"/>
          <w:b w:val="0"/>
          <w:i w:val="0"/>
          <w:color w:val="2C5282"/>
          <w:sz w:val="19"/>
        </w:rPr>
        <w:t>computeScoreBreakdown()</w:t>
      </w:r>
      <w:r>
        <w:rPr>
          <w:rFonts w:ascii="Calibri" w:hAnsi="Calibri"/>
          <w:b w:val="0"/>
          <w:i w:val="0"/>
          <w:color w:val="2D3748"/>
          <w:sz w:val="21"/>
        </w:rPr>
        <w:t xml:space="preserve"> evaluates all dimensions in a single pass. </w:t>
      </w:r>
      <w:r>
        <w:rPr>
          <w:rFonts w:ascii="Consolas" w:hAnsi="Consolas"/>
          <w:b w:val="0"/>
          <w:i w:val="0"/>
          <w:color w:val="2C5282"/>
          <w:sz w:val="19"/>
        </w:rPr>
        <w:t>computeExposureScore()</w:t>
      </w:r>
      <w:r>
        <w:rPr>
          <w:rFonts w:ascii="Calibri" w:hAnsi="Calibri"/>
          <w:b w:val="0"/>
          <w:i w:val="0"/>
          <w:color w:val="2D3748"/>
          <w:sz w:val="21"/>
        </w:rPr>
        <w:t xml:space="preserve"> delegates directly to </w:t>
      </w:r>
      <w:r>
        <w:rPr>
          <w:rFonts w:ascii="Consolas" w:hAnsi="Consolas"/>
          <w:b w:val="0"/>
          <w:i w:val="0"/>
          <w:color w:val="2C5282"/>
          <w:sz w:val="19"/>
        </w:rPr>
        <w:t>computeScoreBreakdown(scan).total</w:t>
      </w:r>
      <w:r>
        <w:rPr>
          <w:rFonts w:ascii="Calibri" w:hAnsi="Calibri"/>
          <w:b w:val="0"/>
          <w:i w:val="0"/>
          <w:color w:val="2D3748"/>
          <w:sz w:val="21"/>
        </w:rPr>
        <w:t>, preventing divergence.</w:t>
      </w:r>
    </w:p>
    <w:p>
      <w:pPr>
        <w:spacing w:before="20" w:after="60" w:line="276" w:lineRule="auto"/>
        <w:ind w:left="360"/>
        <w:jc w:val="left"/>
      </w:pPr>
      <w:r>
        <w:rPr>
          <w:rFonts w:ascii="Calibri" w:hAnsi="Calibri"/>
          <w:b/>
          <w:i w:val="0"/>
          <w:color w:val="2B6CB0"/>
          <w:sz w:val="21"/>
        </w:rPr>
        <w:t xml:space="preserve">2.  </w:t>
      </w:r>
      <w:r>
        <w:rPr>
          <w:rFonts w:ascii="Calibri" w:hAnsi="Calibri"/>
          <w:b/>
          <w:i w:val="0"/>
          <w:color w:val="2D3748"/>
          <w:sz w:val="21"/>
        </w:rPr>
        <w:t>Strict Epistemic Safety:</w:t>
      </w:r>
      <w:r>
        <w:rPr>
          <w:rFonts w:ascii="Calibri" w:hAnsi="Calibri"/>
          <w:b w:val="0"/>
          <w:i w:val="0"/>
          <w:color w:val="2D3748"/>
          <w:sz w:val="21"/>
        </w:rPr>
        <w:t xml:space="preserve"> Incomplete or failed category checks (</w:t>
      </w:r>
      <w:r>
        <w:rPr>
          <w:rFonts w:ascii="Consolas" w:hAnsi="Consolas"/>
          <w:b w:val="0"/>
          <w:i w:val="0"/>
          <w:color w:val="2C5282"/>
          <w:sz w:val="19"/>
        </w:rPr>
        <w:t>status !== 'completed'</w:t>
      </w:r>
      <w:r>
        <w:rPr>
          <w:rFonts w:ascii="Calibri" w:hAnsi="Calibri"/>
          <w:b w:val="0"/>
          <w:i w:val="0"/>
          <w:color w:val="2D3748"/>
          <w:sz w:val="21"/>
        </w:rPr>
        <w:t>) return empty observation lists. Deductions are only assessed when affirmative evidence of a missing control or misconfiguration is observed.</w:t>
      </w:r>
    </w:p>
    <w:p>
      <w:pPr>
        <w:spacing w:before="20" w:after="60" w:line="276" w:lineRule="auto"/>
        <w:ind w:left="360"/>
        <w:jc w:val="left"/>
      </w:pPr>
      <w:r>
        <w:rPr>
          <w:rFonts w:ascii="Calibri" w:hAnsi="Calibri"/>
          <w:b/>
          <w:i w:val="0"/>
          <w:color w:val="2B6CB0"/>
          <w:sz w:val="21"/>
        </w:rPr>
        <w:t xml:space="preserve">3.  </w:t>
      </w:r>
      <w:r>
        <w:rPr>
          <w:rFonts w:ascii="Calibri" w:hAnsi="Calibri"/>
          <w:b/>
          <w:i w:val="0"/>
          <w:color w:val="2D3748"/>
          <w:sz w:val="21"/>
        </w:rPr>
        <w:t>Bounded &amp; Clamped:</w:t>
      </w:r>
      <w:r>
        <w:rPr>
          <w:rFonts w:ascii="Calibri" w:hAnsi="Calibri"/>
          <w:b w:val="0"/>
          <w:i w:val="0"/>
          <w:color w:val="2D3748"/>
          <w:sz w:val="21"/>
        </w:rPr>
        <w:t xml:space="preserve"> Every dimension has a strict </w:t>
      </w:r>
      <w:r>
        <w:rPr>
          <w:rFonts w:ascii="Consolas" w:hAnsi="Consolas"/>
          <w:b w:val="0"/>
          <w:i w:val="0"/>
          <w:color w:val="2C5282"/>
          <w:sz w:val="19"/>
        </w:rPr>
        <w:t>maxDeduction</w:t>
      </w:r>
      <w:r>
        <w:rPr>
          <w:rFonts w:ascii="Calibri" w:hAnsi="Calibri"/>
          <w:b w:val="0"/>
          <w:i w:val="0"/>
          <w:color w:val="2D3748"/>
          <w:sz w:val="21"/>
        </w:rPr>
        <w:t xml:space="preserve"> cap. The final score is clamped to </w:t>
      </w:r>
      <w:r>
        <w:rPr>
          <w:rFonts w:ascii="Consolas" w:hAnsi="Consolas"/>
          <w:b w:val="0"/>
          <w:i w:val="0"/>
          <w:color w:val="2C5282"/>
          <w:sz w:val="19"/>
        </w:rPr>
        <w:t>[0, 100]</w:t>
      </w:r>
      <w:r>
        <w:rPr>
          <w:rFonts w:ascii="Calibri" w:hAnsi="Calibri"/>
          <w:b w:val="0"/>
          <w:i w:val="0"/>
          <w:color w:val="2D3748"/>
          <w:sz w:val="21"/>
        </w:rPr>
        <w:t>.</w:t>
      </w:r>
    </w:p>
    <w:p>
      <w:pPr>
        <w:spacing w:before="20" w:after="60" w:line="276" w:lineRule="auto"/>
        <w:ind w:left="360"/>
        <w:jc w:val="left"/>
      </w:pPr>
      <w:r>
        <w:rPr>
          <w:rFonts w:ascii="Calibri" w:hAnsi="Calibri"/>
          <w:b/>
          <w:i w:val="0"/>
          <w:color w:val="2B6CB0"/>
          <w:sz w:val="21"/>
        </w:rPr>
        <w:t xml:space="preserve">4.  </w:t>
      </w:r>
      <w:r>
        <w:rPr>
          <w:rFonts w:ascii="Calibri" w:hAnsi="Calibri"/>
          <w:b/>
          <w:i w:val="0"/>
          <w:color w:val="2D3748"/>
          <w:sz w:val="21"/>
        </w:rPr>
        <w:t>No Double-Counting:</w:t>
      </w:r>
      <w:r>
        <w:rPr>
          <w:rFonts w:ascii="Calibri" w:hAnsi="Calibri"/>
          <w:b w:val="0"/>
          <w:i w:val="0"/>
          <w:color w:val="2D3748"/>
          <w:sz w:val="21"/>
        </w:rPr>
        <w:t xml:space="preserve"> Each signal is assessed in exactly one category (e.g., HSTS is evaluated under Web Security Headers).</w:t>
      </w:r>
    </w:p>
    <w:p>
      <w:pPr>
        <w:spacing w:before="20" w:after="60" w:line="276" w:lineRule="auto"/>
        <w:ind w:left="360"/>
        <w:jc w:val="left"/>
      </w:pPr>
      <w:r>
        <w:rPr>
          <w:rFonts w:ascii="Calibri" w:hAnsi="Calibri"/>
          <w:b/>
          <w:i w:val="0"/>
          <w:color w:val="2B6CB0"/>
          <w:sz w:val="21"/>
        </w:rPr>
        <w:t xml:space="preserve">5.  </w:t>
      </w:r>
      <w:r>
        <w:rPr>
          <w:rFonts w:ascii="Calibri" w:hAnsi="Calibri"/>
          <w:b/>
          <w:i w:val="0"/>
          <w:color w:val="2D3748"/>
          <w:sz w:val="21"/>
        </w:rPr>
        <w:t>Model Versioning:</w:t>
      </w:r>
      <w:r>
        <w:rPr>
          <w:rFonts w:ascii="Calibri" w:hAnsi="Calibri"/>
          <w:b w:val="0"/>
          <w:i w:val="0"/>
          <w:color w:val="2D3748"/>
          <w:sz w:val="21"/>
        </w:rPr>
        <w:t xml:space="preserve"> Every breakdown records </w:t>
      </w:r>
      <w:r>
        <w:rPr>
          <w:rFonts w:ascii="Consolas" w:hAnsi="Consolas"/>
          <w:b w:val="0"/>
          <w:i w:val="0"/>
          <w:color w:val="2C5282"/>
          <w:sz w:val="19"/>
        </w:rPr>
        <w:t>scoringVersion: 1</w:t>
      </w:r>
      <w:r>
        <w:rPr>
          <w:rFonts w:ascii="Calibri" w:hAnsi="Calibri"/>
          <w:b w:val="0"/>
          <w:i w:val="0"/>
          <w:color w:val="2D3748"/>
          <w:sz w:val="21"/>
        </w:rPr>
        <w:t>.</w:t>
      </w:r>
    </w:p>
    <w:p>
      <w:pPr>
        <w:keepNext/>
        <w:spacing w:before="160" w:after="40" w:line="300" w:lineRule="auto"/>
        <w:jc w:val="left"/>
      </w:pPr>
      <w:r>
        <w:rPr>
          <w:rFonts w:ascii="Calibri" w:hAnsi="Calibri"/>
          <w:b/>
          <w:i w:val="0"/>
          <w:color w:val="2D3748"/>
          <w:sz w:val="22"/>
        </w:rPr>
        <w:t>Scoring Dimensions and Deduction Rubric</w:t>
      </w:r>
    </w:p>
    <w:tbl>
      <w:tblPr>
        <w:tblW w:type="auto" w:w="0"/>
        <w:jc w:val="center"/>
        <w:tblLook w:firstColumn="1" w:firstRow="1" w:lastColumn="0" w:lastRow="0" w:noHBand="0" w:noVBand="1" w:val="04A0"/>
        <w:tblBorders>
          <w:top w:val="single" w:sz="4" w:space="0" w:color="CBD5E0"/>
          <w:bottom w:val="single" w:sz="6" w:space="0" w:color="1A365D"/>
          <w:insideH w:val="single" w:sz="4" w:space="0" w:color="CBD5E0"/>
          <w:insideV w:val="none"/>
          <w:left w:val="none"/>
          <w:right w:val="none"/>
        </w:tblBorders>
      </w:tblPr>
      <w:tblGrid>
        <w:gridCol w:w="3010"/>
        <w:gridCol w:w="3010"/>
        <w:gridCol w:w="3010"/>
      </w:tblGrid>
      <w:tr>
        <w:tc>
          <w:tcPr>
            <w:tcW w:type="dxa" w:w="3010"/>
            <w:tcMar>
              <w:top w:w="100" w:type="dxa"/>
              <w:bottom w:w="100" w:type="dxa"/>
              <w:left w:w="130" w:type="dxa"/>
              <w:right w:w="130" w:type="dxa"/>
            </w:tcMar>
            <w:vAlign w:val="center"/>
            <w:shd w:fill="1A365D"/>
          </w:tcPr>
          <w:p>
            <w:pPr>
              <w:spacing w:before="40" w:after="40" w:line="276" w:lineRule="auto"/>
              <w:jc w:val="left"/>
            </w:pPr>
            <w:r>
              <w:rPr>
                <w:rFonts w:ascii="Calibri" w:hAnsi="Calibri"/>
                <w:b/>
                <w:i w:val="0"/>
                <w:color w:val="FFFFFF"/>
                <w:sz w:val="19"/>
              </w:rPr>
              <w:t>Dimension</w:t>
            </w:r>
          </w:p>
        </w:tc>
        <w:tc>
          <w:tcPr>
            <w:tcW w:type="dxa" w:w="3010"/>
            <w:tcMar>
              <w:top w:w="100" w:type="dxa"/>
              <w:bottom w:w="100" w:type="dxa"/>
              <w:left w:w="130" w:type="dxa"/>
              <w:right w:w="130" w:type="dxa"/>
            </w:tcMar>
            <w:vAlign w:val="center"/>
            <w:shd w:fill="1A365D"/>
          </w:tcPr>
          <w:p>
            <w:pPr>
              <w:spacing w:before="40" w:after="40" w:line="276" w:lineRule="auto"/>
              <w:jc w:val="left"/>
            </w:pPr>
            <w:r>
              <w:rPr>
                <w:rFonts w:ascii="Calibri" w:hAnsi="Calibri"/>
                <w:b/>
                <w:i w:val="0"/>
                <w:color w:val="FFFFFF"/>
                <w:sz w:val="19"/>
              </w:rPr>
              <w:t>Max Deduction</w:t>
            </w:r>
          </w:p>
        </w:tc>
        <w:tc>
          <w:tcPr>
            <w:tcW w:type="dxa" w:w="3010"/>
            <w:tcMar>
              <w:top w:w="100" w:type="dxa"/>
              <w:bottom w:w="100" w:type="dxa"/>
              <w:left w:w="130" w:type="dxa"/>
              <w:right w:w="130" w:type="dxa"/>
            </w:tcMar>
            <w:vAlign w:val="center"/>
            <w:shd w:fill="1A365D"/>
          </w:tcPr>
          <w:p>
            <w:pPr>
              <w:spacing w:before="40" w:after="40" w:line="276" w:lineRule="auto"/>
              <w:jc w:val="left"/>
            </w:pPr>
            <w:r>
              <w:rPr>
                <w:rFonts w:ascii="Calibri" w:hAnsi="Calibri"/>
                <w:b/>
                <w:i w:val="0"/>
                <w:color w:val="FFFFFF"/>
                <w:sz w:val="19"/>
              </w:rPr>
              <w:t>Implemented Deduction Criteria</w:t>
            </w:r>
          </w:p>
        </w:tc>
      </w:tr>
      <w:tr>
        <w:tc>
          <w:tcPr>
            <w:tcW w:type="dxa" w:w="3010"/>
            <w:tcMar>
              <w:top w:w="100" w:type="dxa"/>
              <w:bottom w:w="100" w:type="dxa"/>
              <w:left w:w="130" w:type="dxa"/>
              <w:right w:w="130" w:type="dxa"/>
            </w:tcMar>
            <w:vAlign w:val="center"/>
            <w:shd w:fill="FFFFFF"/>
          </w:tcPr>
          <w:p>
            <w:pPr>
              <w:spacing w:before="40" w:after="40" w:line="276" w:lineRule="auto"/>
              <w:jc w:val="left"/>
            </w:pPr>
            <w:r>
              <w:rPr>
                <w:rFonts w:ascii="Calibri" w:hAnsi="Calibri"/>
                <w:b/>
                <w:i w:val="0"/>
                <w:color w:val="2D3748"/>
                <w:sz w:val="19"/>
              </w:rPr>
              <w:t>TLS Hygiene</w:t>
            </w:r>
          </w:p>
        </w:tc>
        <w:tc>
          <w:tcPr>
            <w:tcW w:type="dxa" w:w="3010"/>
            <w:tcMar>
              <w:top w:w="100" w:type="dxa"/>
              <w:bottom w:w="100" w:type="dxa"/>
              <w:left w:w="130" w:type="dxa"/>
              <w:right w:w="130" w:type="dxa"/>
            </w:tcMar>
            <w:vAlign w:val="center"/>
            <w:shd w:fill="FFFFFF"/>
          </w:tcPr>
          <w:p>
            <w:pPr>
              <w:spacing w:before="40" w:after="40" w:line="276" w:lineRule="auto"/>
              <w:jc w:val="left"/>
            </w:pPr>
            <w:r>
              <w:rPr>
                <w:rFonts w:ascii="Calibri" w:hAnsi="Calibri"/>
                <w:b/>
                <w:i w:val="0"/>
                <w:color w:val="2D3748"/>
                <w:sz w:val="19"/>
              </w:rPr>
              <w:t>25 pts</w:t>
            </w:r>
          </w:p>
        </w:tc>
        <w:tc>
          <w:tcPr>
            <w:tcW w:type="dxa" w:w="3010"/>
            <w:tcMar>
              <w:top w:w="100" w:type="dxa"/>
              <w:bottom w:w="100" w:type="dxa"/>
              <w:left w:w="130" w:type="dxa"/>
              <w:right w:w="130" w:type="dxa"/>
            </w:tcMar>
            <w:vAlign w:val="center"/>
            <w:shd w:fill="FFFFFF"/>
          </w:tcPr>
          <w:p>
            <w:pPr>
              <w:spacing w:before="40" w:after="40" w:line="276" w:lineRule="auto"/>
              <w:jc w:val="left"/>
            </w:pPr>
            <w:r>
              <w:rPr>
                <w:rFonts w:ascii="Calibri" w:hAnsi="Calibri"/>
                <w:b w:val="0"/>
                <w:i w:val="0"/>
                <w:color w:val="2D3748"/>
                <w:sz w:val="19"/>
              </w:rPr>
              <w:t xml:space="preserve">▪ </w:t>
            </w:r>
            <w:r>
              <w:rPr>
                <w:rFonts w:ascii="Calibri" w:hAnsi="Calibri"/>
                <w:b/>
                <w:i w:val="0"/>
                <w:color w:val="2D3748"/>
                <w:sz w:val="19"/>
              </w:rPr>
              <w:t>−25 pts</w:t>
            </w:r>
            <w:r>
              <w:rPr>
                <w:rFonts w:ascii="Calibri" w:hAnsi="Calibri"/>
                <w:b w:val="0"/>
                <w:i w:val="0"/>
                <w:color w:val="2D3748"/>
                <w:sz w:val="19"/>
              </w:rPr>
              <w:t>: TLS service unavailable on port 443.</w:t>
              <w:br/>
              <w:t xml:space="preserve">▪ </w:t>
            </w:r>
            <w:r>
              <w:rPr>
                <w:rFonts w:ascii="Calibri" w:hAnsi="Calibri"/>
                <w:b/>
                <w:i w:val="0"/>
                <w:color w:val="2D3748"/>
                <w:sz w:val="19"/>
              </w:rPr>
              <w:t>−25 pts</w:t>
            </w:r>
            <w:r>
              <w:rPr>
                <w:rFonts w:ascii="Calibri" w:hAnsi="Calibri"/>
                <w:b w:val="0"/>
                <w:i w:val="0"/>
                <w:color w:val="2D3748"/>
                <w:sz w:val="19"/>
              </w:rPr>
              <w:t>: Certificate expires in $\le 7$ days (urgent renewal).</w:t>
              <w:br/>
              <w:t xml:space="preserve">▪ </w:t>
            </w:r>
            <w:r>
              <w:rPr>
                <w:rFonts w:ascii="Calibri" w:hAnsi="Calibri"/>
                <w:b/>
                <w:i w:val="0"/>
                <w:color w:val="2D3748"/>
                <w:sz w:val="19"/>
              </w:rPr>
              <w:t>−10 pts</w:t>
            </w:r>
            <w:r>
              <w:rPr>
                <w:rFonts w:ascii="Calibri" w:hAnsi="Calibri"/>
                <w:b w:val="0"/>
                <w:i w:val="0"/>
                <w:color w:val="2D3748"/>
                <w:sz w:val="19"/>
              </w:rPr>
              <w:t>: Certificate expires in $\le 30$ days.</w:t>
            </w:r>
          </w:p>
        </w:tc>
      </w:tr>
      <w:tr>
        <w:tc>
          <w:tcPr>
            <w:tcW w:type="dxa" w:w="3010"/>
            <w:tcMar>
              <w:top w:w="100" w:type="dxa"/>
              <w:bottom w:w="100" w:type="dxa"/>
              <w:left w:w="130" w:type="dxa"/>
              <w:right w:w="130" w:type="dxa"/>
            </w:tcMar>
            <w:vAlign w:val="center"/>
            <w:shd w:fill="F7FAFC"/>
          </w:tcPr>
          <w:p>
            <w:pPr>
              <w:spacing w:before="40" w:after="40" w:line="276" w:lineRule="auto"/>
              <w:jc w:val="left"/>
            </w:pPr>
            <w:r>
              <w:rPr>
                <w:rFonts w:ascii="Calibri" w:hAnsi="Calibri"/>
                <w:b/>
                <w:i w:val="0"/>
                <w:color w:val="2D3748"/>
                <w:sz w:val="19"/>
              </w:rPr>
              <w:t>HTTPS Enforcement</w:t>
            </w:r>
          </w:p>
        </w:tc>
        <w:tc>
          <w:tcPr>
            <w:tcW w:type="dxa" w:w="3010"/>
            <w:tcMar>
              <w:top w:w="100" w:type="dxa"/>
              <w:bottom w:w="100" w:type="dxa"/>
              <w:left w:w="130" w:type="dxa"/>
              <w:right w:w="130" w:type="dxa"/>
            </w:tcMar>
            <w:vAlign w:val="center"/>
            <w:shd w:fill="F7FAFC"/>
          </w:tcPr>
          <w:p>
            <w:pPr>
              <w:spacing w:before="40" w:after="40" w:line="276" w:lineRule="auto"/>
              <w:jc w:val="left"/>
            </w:pPr>
            <w:r>
              <w:rPr>
                <w:rFonts w:ascii="Calibri" w:hAnsi="Calibri"/>
                <w:b/>
                <w:i w:val="0"/>
                <w:color w:val="2D3748"/>
                <w:sz w:val="19"/>
              </w:rPr>
              <w:t>20 pts</w:t>
            </w:r>
          </w:p>
        </w:tc>
        <w:tc>
          <w:tcPr>
            <w:tcW w:type="dxa" w:w="3010"/>
            <w:tcMar>
              <w:top w:w="100" w:type="dxa"/>
              <w:bottom w:w="100" w:type="dxa"/>
              <w:left w:w="130" w:type="dxa"/>
              <w:right w:w="130" w:type="dxa"/>
            </w:tcMar>
            <w:vAlign w:val="center"/>
            <w:shd w:fill="F7FAFC"/>
          </w:tcPr>
          <w:p>
            <w:pPr>
              <w:spacing w:before="40" w:after="40" w:line="276" w:lineRule="auto"/>
              <w:jc w:val="left"/>
            </w:pPr>
            <w:r>
              <w:rPr>
                <w:rFonts w:ascii="Calibri" w:hAnsi="Calibri"/>
                <w:b w:val="0"/>
                <w:i w:val="0"/>
                <w:color w:val="2D3748"/>
                <w:sz w:val="19"/>
              </w:rPr>
              <w:t xml:space="preserve">▪ </w:t>
            </w:r>
            <w:r>
              <w:rPr>
                <w:rFonts w:ascii="Calibri" w:hAnsi="Calibri"/>
                <w:b/>
                <w:i w:val="0"/>
                <w:color w:val="2D3748"/>
                <w:sz w:val="19"/>
              </w:rPr>
              <w:t>−20 pts</w:t>
            </w:r>
            <w:r>
              <w:rPr>
                <w:rFonts w:ascii="Calibri" w:hAnsi="Calibri"/>
                <w:b w:val="0"/>
                <w:i w:val="0"/>
                <w:color w:val="2D3748"/>
                <w:sz w:val="19"/>
              </w:rPr>
              <w:t>: HTTP requests fail to redirect to HTTPS (</w:t>
            </w:r>
            <w:r>
              <w:rPr>
                <w:rFonts w:ascii="Consolas" w:hAnsi="Consolas"/>
                <w:b w:val="0"/>
                <w:i w:val="0"/>
                <w:color w:val="2C5282"/>
                <w:sz w:val="17"/>
              </w:rPr>
              <w:t>httpsEnforced === false</w:t>
            </w:r>
            <w:r>
              <w:rPr>
                <w:rFonts w:ascii="Calibri" w:hAnsi="Calibri"/>
                <w:b w:val="0"/>
                <w:i w:val="0"/>
                <w:color w:val="2D3748"/>
                <w:sz w:val="19"/>
              </w:rPr>
              <w:t>).</w:t>
            </w:r>
          </w:p>
        </w:tc>
      </w:tr>
      <w:tr>
        <w:tc>
          <w:tcPr>
            <w:tcW w:type="dxa" w:w="3010"/>
            <w:tcMar>
              <w:top w:w="100" w:type="dxa"/>
              <w:bottom w:w="100" w:type="dxa"/>
              <w:left w:w="130" w:type="dxa"/>
              <w:right w:w="130" w:type="dxa"/>
            </w:tcMar>
            <w:vAlign w:val="center"/>
            <w:shd w:fill="FFFFFF"/>
          </w:tcPr>
          <w:p>
            <w:pPr>
              <w:spacing w:before="40" w:after="40" w:line="276" w:lineRule="auto"/>
              <w:jc w:val="left"/>
            </w:pPr>
            <w:r>
              <w:rPr>
                <w:rFonts w:ascii="Calibri" w:hAnsi="Calibri"/>
                <w:b/>
                <w:i w:val="0"/>
                <w:color w:val="2D3748"/>
                <w:sz w:val="19"/>
              </w:rPr>
              <w:t>Web Security Headers</w:t>
            </w:r>
          </w:p>
        </w:tc>
        <w:tc>
          <w:tcPr>
            <w:tcW w:type="dxa" w:w="3010"/>
            <w:tcMar>
              <w:top w:w="100" w:type="dxa"/>
              <w:bottom w:w="100" w:type="dxa"/>
              <w:left w:w="130" w:type="dxa"/>
              <w:right w:w="130" w:type="dxa"/>
            </w:tcMar>
            <w:vAlign w:val="center"/>
            <w:shd w:fill="FFFFFF"/>
          </w:tcPr>
          <w:p>
            <w:pPr>
              <w:spacing w:before="40" w:after="40" w:line="276" w:lineRule="auto"/>
              <w:jc w:val="left"/>
            </w:pPr>
            <w:r>
              <w:rPr>
                <w:rFonts w:ascii="Calibri" w:hAnsi="Calibri"/>
                <w:b/>
                <w:i w:val="0"/>
                <w:color w:val="2D3748"/>
                <w:sz w:val="19"/>
              </w:rPr>
              <w:t>25 pts</w:t>
            </w:r>
          </w:p>
        </w:tc>
        <w:tc>
          <w:tcPr>
            <w:tcW w:type="dxa" w:w="3010"/>
            <w:tcMar>
              <w:top w:w="100" w:type="dxa"/>
              <w:bottom w:w="100" w:type="dxa"/>
              <w:left w:w="130" w:type="dxa"/>
              <w:right w:w="130" w:type="dxa"/>
            </w:tcMar>
            <w:vAlign w:val="center"/>
            <w:shd w:fill="FFFFFF"/>
          </w:tcPr>
          <w:p>
            <w:pPr>
              <w:spacing w:before="40" w:after="40" w:line="276" w:lineRule="auto"/>
              <w:jc w:val="left"/>
            </w:pPr>
            <w:r>
              <w:rPr>
                <w:rFonts w:ascii="Calibri" w:hAnsi="Calibri"/>
                <w:b w:val="0"/>
                <w:i w:val="0"/>
                <w:color w:val="2D3748"/>
                <w:sz w:val="19"/>
              </w:rPr>
              <w:t xml:space="preserve">▪ </w:t>
            </w:r>
            <w:r>
              <w:rPr>
                <w:rFonts w:ascii="Calibri" w:hAnsi="Calibri"/>
                <w:b/>
                <w:i w:val="0"/>
                <w:color w:val="2D3748"/>
                <w:sz w:val="19"/>
              </w:rPr>
              <w:t>−5 pts per missing header</w:t>
            </w:r>
            <w:r>
              <w:rPr>
                <w:rFonts w:ascii="Calibri" w:hAnsi="Calibri"/>
                <w:b w:val="0"/>
                <w:i w:val="0"/>
                <w:color w:val="2D3748"/>
                <w:sz w:val="19"/>
              </w:rPr>
              <w:t xml:space="preserve"> (capped at 5 headers = −25 pts): Evaluated against HSTS, CSP, X-Content-Type-Options, X-Frame-Options, Referrer-Policy.</w:t>
            </w:r>
          </w:p>
        </w:tc>
      </w:tr>
      <w:tr>
        <w:tc>
          <w:tcPr>
            <w:tcW w:type="dxa" w:w="3010"/>
            <w:tcMar>
              <w:top w:w="100" w:type="dxa"/>
              <w:bottom w:w="100" w:type="dxa"/>
              <w:left w:w="130" w:type="dxa"/>
              <w:right w:w="130" w:type="dxa"/>
            </w:tcMar>
            <w:vAlign w:val="center"/>
            <w:shd w:fill="F7FAFC"/>
          </w:tcPr>
          <w:p>
            <w:pPr>
              <w:spacing w:before="40" w:after="40" w:line="276" w:lineRule="auto"/>
              <w:jc w:val="left"/>
            </w:pPr>
            <w:r>
              <w:rPr>
                <w:rFonts w:ascii="Calibri" w:hAnsi="Calibri"/>
                <w:b/>
                <w:i w:val="0"/>
                <w:color w:val="2D3748"/>
                <w:sz w:val="19"/>
              </w:rPr>
              <w:t>Email Security</w:t>
            </w:r>
          </w:p>
        </w:tc>
        <w:tc>
          <w:tcPr>
            <w:tcW w:type="dxa" w:w="3010"/>
            <w:tcMar>
              <w:top w:w="100" w:type="dxa"/>
              <w:bottom w:w="100" w:type="dxa"/>
              <w:left w:w="130" w:type="dxa"/>
              <w:right w:w="130" w:type="dxa"/>
            </w:tcMar>
            <w:vAlign w:val="center"/>
            <w:shd w:fill="F7FAFC"/>
          </w:tcPr>
          <w:p>
            <w:pPr>
              <w:spacing w:before="40" w:after="40" w:line="276" w:lineRule="auto"/>
              <w:jc w:val="left"/>
            </w:pPr>
            <w:r>
              <w:rPr>
                <w:rFonts w:ascii="Calibri" w:hAnsi="Calibri"/>
                <w:b/>
                <w:i w:val="0"/>
                <w:color w:val="2D3748"/>
                <w:sz w:val="19"/>
              </w:rPr>
              <w:t>10 pts</w:t>
            </w:r>
          </w:p>
        </w:tc>
        <w:tc>
          <w:tcPr>
            <w:tcW w:type="dxa" w:w="3010"/>
            <w:tcMar>
              <w:top w:w="100" w:type="dxa"/>
              <w:bottom w:w="100" w:type="dxa"/>
              <w:left w:w="130" w:type="dxa"/>
              <w:right w:w="130" w:type="dxa"/>
            </w:tcMar>
            <w:vAlign w:val="center"/>
            <w:shd w:fill="F7FAFC"/>
          </w:tcPr>
          <w:p>
            <w:pPr>
              <w:spacing w:before="40" w:after="40" w:line="276" w:lineRule="auto"/>
              <w:jc w:val="left"/>
            </w:pPr>
            <w:r>
              <w:rPr>
                <w:rFonts w:ascii="Calibri" w:hAnsi="Calibri"/>
                <w:b w:val="0"/>
                <w:i w:val="0"/>
                <w:color w:val="2D3748"/>
                <w:sz w:val="19"/>
              </w:rPr>
              <w:t xml:space="preserve">▪ </w:t>
            </w:r>
            <w:r>
              <w:rPr>
                <w:rFonts w:ascii="Calibri" w:hAnsi="Calibri"/>
                <w:b/>
                <w:i w:val="0"/>
                <w:color w:val="2D3748"/>
                <w:sz w:val="19"/>
              </w:rPr>
              <w:t>−5 pts</w:t>
            </w:r>
            <w:r>
              <w:rPr>
                <w:rFonts w:ascii="Calibri" w:hAnsi="Calibri"/>
                <w:b w:val="0"/>
                <w:i w:val="0"/>
                <w:color w:val="2D3748"/>
                <w:sz w:val="19"/>
              </w:rPr>
              <w:t>: No SPF record observed in DNS.</w:t>
              <w:br/>
              <w:t xml:space="preserve">▪ </w:t>
            </w:r>
            <w:r>
              <w:rPr>
                <w:rFonts w:ascii="Calibri" w:hAnsi="Calibri"/>
                <w:b/>
                <w:i w:val="0"/>
                <w:color w:val="2D3748"/>
                <w:sz w:val="19"/>
              </w:rPr>
              <w:t>−5 pts</w:t>
            </w:r>
            <w:r>
              <w:rPr>
                <w:rFonts w:ascii="Calibri" w:hAnsi="Calibri"/>
                <w:b w:val="0"/>
                <w:i w:val="0"/>
                <w:color w:val="2D3748"/>
                <w:sz w:val="19"/>
              </w:rPr>
              <w:t>: No DMARC record observed in DNS.</w:t>
            </w:r>
          </w:p>
        </w:tc>
      </w:tr>
      <w:tr>
        <w:tc>
          <w:tcPr>
            <w:tcW w:type="dxa" w:w="3010"/>
            <w:tcMar>
              <w:top w:w="100" w:type="dxa"/>
              <w:bottom w:w="100" w:type="dxa"/>
              <w:left w:w="130" w:type="dxa"/>
              <w:right w:w="130" w:type="dxa"/>
            </w:tcMar>
            <w:vAlign w:val="center"/>
            <w:shd w:fill="FFFFFF"/>
          </w:tcPr>
          <w:p>
            <w:pPr>
              <w:spacing w:before="40" w:after="40" w:line="276" w:lineRule="auto"/>
              <w:jc w:val="left"/>
            </w:pPr>
            <w:r>
              <w:rPr>
                <w:rFonts w:ascii="Calibri" w:hAnsi="Calibri"/>
                <w:b/>
                <w:i w:val="0"/>
                <w:color w:val="2D3748"/>
                <w:sz w:val="19"/>
              </w:rPr>
              <w:t>DNSSEC Hygiene</w:t>
            </w:r>
          </w:p>
        </w:tc>
        <w:tc>
          <w:tcPr>
            <w:tcW w:type="dxa" w:w="3010"/>
            <w:tcMar>
              <w:top w:w="100" w:type="dxa"/>
              <w:bottom w:w="100" w:type="dxa"/>
              <w:left w:w="130" w:type="dxa"/>
              <w:right w:w="130" w:type="dxa"/>
            </w:tcMar>
            <w:vAlign w:val="center"/>
            <w:shd w:fill="FFFFFF"/>
          </w:tcPr>
          <w:p>
            <w:pPr>
              <w:spacing w:before="40" w:after="40" w:line="276" w:lineRule="auto"/>
              <w:jc w:val="left"/>
            </w:pPr>
            <w:r>
              <w:rPr>
                <w:rFonts w:ascii="Calibri" w:hAnsi="Calibri"/>
                <w:b/>
                <w:i w:val="0"/>
                <w:color w:val="2D3748"/>
                <w:sz w:val="19"/>
              </w:rPr>
              <w:t>3 pts</w:t>
            </w:r>
          </w:p>
        </w:tc>
        <w:tc>
          <w:tcPr>
            <w:tcW w:type="dxa" w:w="3010"/>
            <w:tcMar>
              <w:top w:w="100" w:type="dxa"/>
              <w:bottom w:w="100" w:type="dxa"/>
              <w:left w:w="130" w:type="dxa"/>
              <w:right w:w="130" w:type="dxa"/>
            </w:tcMar>
            <w:vAlign w:val="center"/>
            <w:shd w:fill="FFFFFF"/>
          </w:tcPr>
          <w:p>
            <w:pPr>
              <w:spacing w:before="40" w:after="40" w:line="276" w:lineRule="auto"/>
              <w:jc w:val="left"/>
            </w:pPr>
            <w:r>
              <w:rPr>
                <w:rFonts w:ascii="Calibri" w:hAnsi="Calibri"/>
                <w:b w:val="0"/>
                <w:i w:val="0"/>
                <w:color w:val="2D3748"/>
                <w:sz w:val="19"/>
              </w:rPr>
              <w:t xml:space="preserve">▪ </w:t>
            </w:r>
            <w:r>
              <w:rPr>
                <w:rFonts w:ascii="Calibri" w:hAnsi="Calibri"/>
                <w:b/>
                <w:i w:val="0"/>
                <w:color w:val="2D3748"/>
                <w:sz w:val="19"/>
              </w:rPr>
              <w:t>−3 pts</w:t>
            </w:r>
            <w:r>
              <w:rPr>
                <w:rFonts w:ascii="Calibri" w:hAnsi="Calibri"/>
                <w:b w:val="0"/>
                <w:i w:val="0"/>
                <w:color w:val="2D3748"/>
                <w:sz w:val="19"/>
              </w:rPr>
              <w:t>: Absence of DNSSEC authentication records (</w:t>
            </w:r>
            <w:r>
              <w:rPr>
                <w:rFonts w:ascii="Consolas" w:hAnsi="Consolas"/>
                <w:b w:val="0"/>
                <w:i w:val="0"/>
                <w:color w:val="2C5282"/>
                <w:sz w:val="17"/>
              </w:rPr>
              <w:t>DNSKEY</w:t>
            </w:r>
            <w:r>
              <w:rPr>
                <w:rFonts w:ascii="Calibri" w:hAnsi="Calibri"/>
                <w:b w:val="0"/>
                <w:i w:val="0"/>
                <w:color w:val="2D3748"/>
                <w:sz w:val="19"/>
              </w:rPr>
              <w:t xml:space="preserve"> / </w:t>
            </w:r>
            <w:r>
              <w:rPr>
                <w:rFonts w:ascii="Consolas" w:hAnsi="Consolas"/>
                <w:b w:val="0"/>
                <w:i w:val="0"/>
                <w:color w:val="2C5282"/>
                <w:sz w:val="17"/>
              </w:rPr>
              <w:t>DS</w:t>
            </w:r>
            <w:r>
              <w:rPr>
                <w:rFonts w:ascii="Calibri" w:hAnsi="Calibri"/>
                <w:b w:val="0"/>
                <w:i w:val="0"/>
                <w:color w:val="2D3748"/>
                <w:sz w:val="19"/>
              </w:rPr>
              <w:t>).</w:t>
            </w:r>
          </w:p>
        </w:tc>
      </w:tr>
      <w:tr>
        <w:tc>
          <w:tcPr>
            <w:tcW w:type="dxa" w:w="3010"/>
            <w:tcMar>
              <w:top w:w="100" w:type="dxa"/>
              <w:bottom w:w="100" w:type="dxa"/>
              <w:left w:w="130" w:type="dxa"/>
              <w:right w:w="130" w:type="dxa"/>
            </w:tcMar>
            <w:vAlign w:val="center"/>
            <w:shd w:fill="F7FAFC"/>
          </w:tcPr>
          <w:p>
            <w:pPr>
              <w:spacing w:before="40" w:after="40" w:line="276" w:lineRule="auto"/>
              <w:jc w:val="left"/>
            </w:pPr>
            <w:r>
              <w:rPr>
                <w:rFonts w:ascii="Calibri" w:hAnsi="Calibri"/>
                <w:b/>
                <w:i w:val="0"/>
                <w:color w:val="2D3748"/>
                <w:sz w:val="19"/>
              </w:rPr>
              <w:t>Network Exposure</w:t>
            </w:r>
          </w:p>
        </w:tc>
        <w:tc>
          <w:tcPr>
            <w:tcW w:type="dxa" w:w="3010"/>
            <w:tcMar>
              <w:top w:w="100" w:type="dxa"/>
              <w:bottom w:w="100" w:type="dxa"/>
              <w:left w:w="130" w:type="dxa"/>
              <w:right w:w="130" w:type="dxa"/>
            </w:tcMar>
            <w:vAlign w:val="center"/>
            <w:shd w:fill="F7FAFC"/>
          </w:tcPr>
          <w:p>
            <w:pPr>
              <w:spacing w:before="40" w:after="40" w:line="276" w:lineRule="auto"/>
              <w:jc w:val="left"/>
            </w:pPr>
            <w:r>
              <w:rPr>
                <w:rFonts w:ascii="Calibri" w:hAnsi="Calibri"/>
                <w:b/>
                <w:i w:val="0"/>
                <w:color w:val="2D3748"/>
                <w:sz w:val="19"/>
              </w:rPr>
              <w:t>20 pts</w:t>
            </w:r>
          </w:p>
        </w:tc>
        <w:tc>
          <w:tcPr>
            <w:tcW w:type="dxa" w:w="3010"/>
            <w:tcMar>
              <w:top w:w="100" w:type="dxa"/>
              <w:bottom w:w="100" w:type="dxa"/>
              <w:left w:w="130" w:type="dxa"/>
              <w:right w:w="130" w:type="dxa"/>
            </w:tcMar>
            <w:vAlign w:val="center"/>
            <w:shd w:fill="F7FAFC"/>
          </w:tcPr>
          <w:p>
            <w:pPr>
              <w:spacing w:before="40" w:after="40" w:line="276" w:lineRule="auto"/>
              <w:jc w:val="left"/>
            </w:pPr>
            <w:r>
              <w:rPr>
                <w:rFonts w:ascii="Calibri" w:hAnsi="Calibri"/>
                <w:b w:val="0"/>
                <w:i w:val="0"/>
                <w:color w:val="2D3748"/>
                <w:sz w:val="19"/>
              </w:rPr>
              <w:t xml:space="preserve">▪ </w:t>
            </w:r>
            <w:r>
              <w:rPr>
                <w:rFonts w:ascii="Calibri" w:hAnsi="Calibri"/>
                <w:b/>
                <w:i w:val="0"/>
                <w:color w:val="2D3748"/>
                <w:sz w:val="19"/>
              </w:rPr>
              <w:t>−10 pts</w:t>
            </w:r>
            <w:r>
              <w:rPr>
                <w:rFonts w:ascii="Calibri" w:hAnsi="Calibri"/>
                <w:b w:val="0"/>
                <w:i w:val="0"/>
                <w:color w:val="2D3748"/>
                <w:sz w:val="19"/>
              </w:rPr>
              <w:t>: Publicly exposed risky database/management ports (FTP 21, Telnet 23, SMB 445, MSSQL 1433, Oracle 1521, MySQL 3306, RDP 3389, Postgres 5432, VNC 5900, Redis 6379, InfluxDB 8086, Elasticsearch 9200, MongoDB 27017).</w:t>
              <w:br/>
              <w:t xml:space="preserve">▪ </w:t>
            </w:r>
            <w:r>
              <w:rPr>
                <w:rFonts w:ascii="Calibri" w:hAnsi="Calibri"/>
                <w:b/>
                <w:i w:val="0"/>
                <w:color w:val="2D3748"/>
                <w:sz w:val="19"/>
              </w:rPr>
              <w:t>−10 pts</w:t>
            </w:r>
            <w:r>
              <w:rPr>
                <w:rFonts w:ascii="Calibri" w:hAnsi="Calibri"/>
                <w:b w:val="0"/>
                <w:i w:val="0"/>
                <w:color w:val="2D3748"/>
                <w:sz w:val="19"/>
              </w:rPr>
              <w:t>: Software version with confirmed CVE vulnerability in Shodan records.</w:t>
            </w:r>
          </w:p>
        </w:tc>
      </w:tr>
    </w:tbl>
    <w:p>
      <w:pPr>
        <w:spacing w:after="80"/>
      </w:pPr>
    </w:p>
    <w:p>
      <w:pPr>
        <w:keepNext/>
        <w:spacing w:before="160" w:after="40" w:line="300" w:lineRule="auto"/>
        <w:jc w:val="left"/>
      </w:pPr>
      <w:r>
        <w:rPr>
          <w:rFonts w:ascii="Calibri" w:hAnsi="Calibri"/>
          <w:b/>
          <w:i w:val="0"/>
          <w:color w:val="2D3748"/>
          <w:sz w:val="22"/>
        </w:rPr>
        <w:t>Mathematical Formulation</w:t>
      </w:r>
    </w:p>
    <w:p>
      <w:pPr>
        <w:spacing w:before="40" w:after="120" w:line="300" w:lineRule="auto"/>
        <w:jc w:val="both"/>
      </w:pPr>
      <w:r>
        <w:rPr>
          <w:rFonts w:ascii="Calibri" w:hAnsi="Calibri"/>
          <w:b w:val="0"/>
          <w:i w:val="0"/>
          <w:color w:val="2D3748"/>
          <w:sz w:val="22"/>
        </w:rPr>
        <w:t>$$</w:t>
        <w:tab/>
        <w:t>ext{Deduction}_{</w:t>
        <w:tab/>
        <w:t>ext{dim}} = \min\left(</w:t>
        <w:tab/>
        <w:t>ext{MaxDeduction}_{</w:t>
        <w:tab/>
        <w:t xml:space="preserve">ext{dim}}, \sum_{o \in </w:t>
        <w:tab/>
        <w:t>ext{Observations}_{</w:t>
        <w:tab/>
        <w:t xml:space="preserve">ext{dim}}} </w:t>
        <w:tab/>
        <w:t>ext{Points}(o)</w:t>
      </w:r>
    </w:p>
    <w:p>
      <w:pPr>
        <w:spacing w:before="40" w:after="120" w:line="300" w:lineRule="auto"/>
        <w:jc w:val="both"/>
      </w:pPr>
      <w:r>
        <w:rPr>
          <w:rFonts w:ascii="Calibri" w:hAnsi="Calibri"/>
          <w:b w:val="0"/>
          <w:i w:val="0"/>
          <w:color w:val="2D3748"/>
          <w:sz w:val="22"/>
        </w:rPr>
        <w:t>ight)$$</w:t>
      </w:r>
    </w:p>
    <w:p>
      <w:pPr>
        <w:spacing w:before="40" w:after="120" w:line="300" w:lineRule="auto"/>
        <w:jc w:val="both"/>
      </w:pPr>
      <w:r>
        <w:rPr>
          <w:rFonts w:ascii="Calibri" w:hAnsi="Calibri"/>
          <w:b w:val="0"/>
          <w:i w:val="0"/>
          <w:color w:val="2D3748"/>
          <w:sz w:val="22"/>
        </w:rPr>
        <w:t>$$</w:t>
        <w:tab/>
        <w:t>ext{TotalDeducted} = \sum_{</w:t>
        <w:tab/>
        <w:t xml:space="preserve">ext{dim}} </w:t>
        <w:tab/>
        <w:t>ext{Deduction}_{</w:t>
        <w:tab/>
        <w:t>ext{dim}}$$</w:t>
      </w:r>
    </w:p>
    <w:p>
      <w:pPr>
        <w:spacing w:before="40" w:after="120" w:line="300" w:lineRule="auto"/>
        <w:jc w:val="both"/>
      </w:pPr>
      <w:r>
        <w:rPr>
          <w:rFonts w:ascii="Calibri" w:hAnsi="Calibri"/>
          <w:b w:val="0"/>
          <w:i w:val="0"/>
          <w:color w:val="2D3748"/>
          <w:sz w:val="22"/>
        </w:rPr>
        <w:t>$$</w:t>
        <w:tab/>
        <w:t xml:space="preserve">ext{Hygiene Score} = \max(0, \min(100, 100 - </w:t>
        <w:tab/>
        <w:t>ext{TotalDeducted}))$$</w:t>
      </w:r>
    </w:p>
    <w:p>
      <w:pPr>
        <w:keepNext/>
        <w:spacing w:before="160" w:after="40" w:line="300" w:lineRule="auto"/>
        <w:jc w:val="left"/>
      </w:pPr>
      <w:r>
        <w:rPr>
          <w:rFonts w:ascii="Calibri" w:hAnsi="Calibri"/>
          <w:b/>
          <w:i w:val="0"/>
          <w:color w:val="2D3748"/>
          <w:sz w:val="22"/>
        </w:rPr>
        <w:t>Posture Classification</w:t>
      </w:r>
    </w:p>
    <w:tbl>
      <w:tblPr>
        <w:tblW w:type="auto" w:w="0"/>
        <w:jc w:val="center"/>
        <w:tblLook w:firstColumn="1" w:firstRow="1" w:lastColumn="0" w:lastRow="0" w:noHBand="0" w:noVBand="1" w:val="04A0"/>
        <w:tblBorders>
          <w:top w:val="single" w:sz="4" w:space="0" w:color="CBD5E0"/>
          <w:bottom w:val="single" w:sz="6" w:space="0" w:color="1A365D"/>
          <w:insideH w:val="single" w:sz="4" w:space="0" w:color="CBD5E0"/>
          <w:insideV w:val="none"/>
          <w:left w:val="none"/>
          <w:right w:val="none"/>
        </w:tblBorders>
      </w:tblPr>
      <w:tblGrid>
        <w:gridCol w:w="3010"/>
        <w:gridCol w:w="3010"/>
        <w:gridCol w:w="3010"/>
      </w:tblGrid>
      <w:tr>
        <w:tc>
          <w:tcPr>
            <w:tcW w:type="dxa" w:w="3010"/>
            <w:tcMar>
              <w:top w:w="100" w:type="dxa"/>
              <w:bottom w:w="100" w:type="dxa"/>
              <w:left w:w="130" w:type="dxa"/>
              <w:right w:w="130" w:type="dxa"/>
            </w:tcMar>
            <w:vAlign w:val="center"/>
            <w:shd w:fill="1A365D"/>
          </w:tcPr>
          <w:p>
            <w:pPr>
              <w:spacing w:before="40" w:after="40" w:line="276" w:lineRule="auto"/>
              <w:jc w:val="left"/>
            </w:pPr>
            <w:r>
              <w:rPr>
                <w:rFonts w:ascii="Calibri" w:hAnsi="Calibri"/>
                <w:b/>
                <w:i w:val="0"/>
                <w:color w:val="FFFFFF"/>
                <w:sz w:val="19"/>
              </w:rPr>
              <w:t>Score Range</w:t>
            </w:r>
          </w:p>
        </w:tc>
        <w:tc>
          <w:tcPr>
            <w:tcW w:type="dxa" w:w="3010"/>
            <w:tcMar>
              <w:top w:w="100" w:type="dxa"/>
              <w:bottom w:w="100" w:type="dxa"/>
              <w:left w:w="130" w:type="dxa"/>
              <w:right w:w="130" w:type="dxa"/>
            </w:tcMar>
            <w:vAlign w:val="center"/>
            <w:shd w:fill="1A365D"/>
          </w:tcPr>
          <w:p>
            <w:pPr>
              <w:spacing w:before="40" w:after="40" w:line="276" w:lineRule="auto"/>
              <w:jc w:val="left"/>
            </w:pPr>
            <w:r>
              <w:rPr>
                <w:rFonts w:ascii="Calibri" w:hAnsi="Calibri"/>
                <w:b/>
                <w:i w:val="0"/>
                <w:color w:val="FFFFFF"/>
                <w:sz w:val="19"/>
              </w:rPr>
              <w:t>Classification</w:t>
            </w:r>
          </w:p>
        </w:tc>
        <w:tc>
          <w:tcPr>
            <w:tcW w:type="dxa" w:w="3010"/>
            <w:tcMar>
              <w:top w:w="100" w:type="dxa"/>
              <w:bottom w:w="100" w:type="dxa"/>
              <w:left w:w="130" w:type="dxa"/>
              <w:right w:w="130" w:type="dxa"/>
            </w:tcMar>
            <w:vAlign w:val="center"/>
            <w:shd w:fill="1A365D"/>
          </w:tcPr>
          <w:p>
            <w:pPr>
              <w:spacing w:before="40" w:after="40" w:line="276" w:lineRule="auto"/>
              <w:jc w:val="left"/>
            </w:pPr>
            <w:r>
              <w:rPr>
                <w:rFonts w:ascii="Calibri" w:hAnsi="Calibri"/>
                <w:b/>
                <w:i w:val="0"/>
                <w:color w:val="FFFFFF"/>
                <w:sz w:val="19"/>
              </w:rPr>
              <w:t>Security Interpretation</w:t>
            </w:r>
          </w:p>
        </w:tc>
      </w:tr>
      <w:tr>
        <w:tc>
          <w:tcPr>
            <w:tcW w:type="dxa" w:w="3010"/>
            <w:tcMar>
              <w:top w:w="100" w:type="dxa"/>
              <w:bottom w:w="100" w:type="dxa"/>
              <w:left w:w="130" w:type="dxa"/>
              <w:right w:w="130" w:type="dxa"/>
            </w:tcMar>
            <w:vAlign w:val="center"/>
            <w:shd w:fill="FFFFFF"/>
          </w:tcPr>
          <w:p>
            <w:pPr>
              <w:spacing w:before="40" w:after="40" w:line="276" w:lineRule="auto"/>
              <w:jc w:val="left"/>
            </w:pPr>
            <w:r>
              <w:rPr>
                <w:rFonts w:ascii="Calibri" w:hAnsi="Calibri"/>
                <w:b/>
                <w:i w:val="0"/>
                <w:color w:val="2D3748"/>
                <w:sz w:val="19"/>
              </w:rPr>
              <w:t>80 – 100</w:t>
            </w:r>
          </w:p>
        </w:tc>
        <w:tc>
          <w:tcPr>
            <w:tcW w:type="dxa" w:w="3010"/>
            <w:tcMar>
              <w:top w:w="100" w:type="dxa"/>
              <w:bottom w:w="100" w:type="dxa"/>
              <w:left w:w="130" w:type="dxa"/>
              <w:right w:w="130" w:type="dxa"/>
            </w:tcMar>
            <w:vAlign w:val="center"/>
            <w:shd w:fill="FFFFFF"/>
          </w:tcPr>
          <w:p>
            <w:pPr>
              <w:spacing w:before="40" w:after="40" w:line="276" w:lineRule="auto"/>
              <w:jc w:val="left"/>
            </w:pPr>
            <w:r>
              <w:rPr>
                <w:rFonts w:ascii="Calibri" w:hAnsi="Calibri"/>
                <w:b/>
                <w:i w:val="0"/>
                <w:color w:val="2D3748"/>
                <w:sz w:val="19"/>
              </w:rPr>
              <w:t>Robust Defense</w:t>
            </w:r>
          </w:p>
        </w:tc>
        <w:tc>
          <w:tcPr>
            <w:tcW w:type="dxa" w:w="3010"/>
            <w:tcMar>
              <w:top w:w="100" w:type="dxa"/>
              <w:bottom w:w="100" w:type="dxa"/>
              <w:left w:w="130" w:type="dxa"/>
              <w:right w:w="130" w:type="dxa"/>
            </w:tcMar>
            <w:vAlign w:val="center"/>
            <w:shd w:fill="FFFFFF"/>
          </w:tcPr>
          <w:p>
            <w:pPr>
              <w:spacing w:before="40" w:after="40" w:line="276" w:lineRule="auto"/>
              <w:jc w:val="left"/>
            </w:pPr>
            <w:r>
              <w:rPr>
                <w:rFonts w:ascii="Calibri" w:hAnsi="Calibri"/>
                <w:b w:val="0"/>
                <w:i w:val="0"/>
                <w:color w:val="2D3748"/>
                <w:sz w:val="19"/>
              </w:rPr>
              <w:t>Modern TLS, HTTPS enforced, hardened headers, active SPF/DMARC, no exposed management ports.</w:t>
            </w:r>
          </w:p>
        </w:tc>
      </w:tr>
      <w:tr>
        <w:tc>
          <w:tcPr>
            <w:tcW w:type="dxa" w:w="3010"/>
            <w:tcMar>
              <w:top w:w="100" w:type="dxa"/>
              <w:bottom w:w="100" w:type="dxa"/>
              <w:left w:w="130" w:type="dxa"/>
              <w:right w:w="130" w:type="dxa"/>
            </w:tcMar>
            <w:vAlign w:val="center"/>
            <w:shd w:fill="F7FAFC"/>
          </w:tcPr>
          <w:p>
            <w:pPr>
              <w:spacing w:before="40" w:after="40" w:line="276" w:lineRule="auto"/>
              <w:jc w:val="left"/>
            </w:pPr>
            <w:r>
              <w:rPr>
                <w:rFonts w:ascii="Calibri" w:hAnsi="Calibri"/>
                <w:b/>
                <w:i w:val="0"/>
                <w:color w:val="2D3748"/>
                <w:sz w:val="19"/>
              </w:rPr>
              <w:t>60 – 79</w:t>
            </w:r>
          </w:p>
        </w:tc>
        <w:tc>
          <w:tcPr>
            <w:tcW w:type="dxa" w:w="3010"/>
            <w:tcMar>
              <w:top w:w="100" w:type="dxa"/>
              <w:bottom w:w="100" w:type="dxa"/>
              <w:left w:w="130" w:type="dxa"/>
              <w:right w:w="130" w:type="dxa"/>
            </w:tcMar>
            <w:vAlign w:val="center"/>
            <w:shd w:fill="F7FAFC"/>
          </w:tcPr>
          <w:p>
            <w:pPr>
              <w:spacing w:before="40" w:after="40" w:line="276" w:lineRule="auto"/>
              <w:jc w:val="left"/>
            </w:pPr>
            <w:r>
              <w:rPr>
                <w:rFonts w:ascii="Calibri" w:hAnsi="Calibri"/>
                <w:b/>
                <w:i w:val="0"/>
                <w:color w:val="2D3748"/>
                <w:sz w:val="19"/>
              </w:rPr>
              <w:t>Standard Hygiene</w:t>
            </w:r>
          </w:p>
        </w:tc>
        <w:tc>
          <w:tcPr>
            <w:tcW w:type="dxa" w:w="3010"/>
            <w:tcMar>
              <w:top w:w="100" w:type="dxa"/>
              <w:bottom w:w="100" w:type="dxa"/>
              <w:left w:w="130" w:type="dxa"/>
              <w:right w:w="130" w:type="dxa"/>
            </w:tcMar>
            <w:vAlign w:val="center"/>
            <w:shd w:fill="F7FAFC"/>
          </w:tcPr>
          <w:p>
            <w:pPr>
              <w:spacing w:before="40" w:after="40" w:line="276" w:lineRule="auto"/>
              <w:jc w:val="left"/>
            </w:pPr>
            <w:r>
              <w:rPr>
                <w:rFonts w:ascii="Calibri" w:hAnsi="Calibri"/>
                <w:b w:val="0"/>
                <w:i w:val="0"/>
                <w:color w:val="2D3748"/>
                <w:sz w:val="19"/>
              </w:rPr>
              <w:t>Core transport encryption in place; minor gaps in headers, email records, or upcoming certificate renewals.</w:t>
            </w:r>
          </w:p>
        </w:tc>
      </w:tr>
      <w:tr>
        <w:tc>
          <w:tcPr>
            <w:tcW w:type="dxa" w:w="3010"/>
            <w:tcMar>
              <w:top w:w="100" w:type="dxa"/>
              <w:bottom w:w="100" w:type="dxa"/>
              <w:left w:w="130" w:type="dxa"/>
              <w:right w:w="130" w:type="dxa"/>
            </w:tcMar>
            <w:vAlign w:val="center"/>
            <w:shd w:fill="FFFFFF"/>
          </w:tcPr>
          <w:p>
            <w:pPr>
              <w:spacing w:before="40" w:after="40" w:line="276" w:lineRule="auto"/>
              <w:jc w:val="left"/>
            </w:pPr>
            <w:r>
              <w:rPr>
                <w:rFonts w:ascii="Calibri" w:hAnsi="Calibri"/>
                <w:b/>
                <w:i w:val="0"/>
                <w:color w:val="2D3748"/>
                <w:sz w:val="19"/>
              </w:rPr>
              <w:t>40 – 59</w:t>
            </w:r>
          </w:p>
        </w:tc>
        <w:tc>
          <w:tcPr>
            <w:tcW w:type="dxa" w:w="3010"/>
            <w:tcMar>
              <w:top w:w="100" w:type="dxa"/>
              <w:bottom w:w="100" w:type="dxa"/>
              <w:left w:w="130" w:type="dxa"/>
              <w:right w:w="130" w:type="dxa"/>
            </w:tcMar>
            <w:vAlign w:val="center"/>
            <w:shd w:fill="FFFFFF"/>
          </w:tcPr>
          <w:p>
            <w:pPr>
              <w:spacing w:before="40" w:after="40" w:line="276" w:lineRule="auto"/>
              <w:jc w:val="left"/>
            </w:pPr>
            <w:r>
              <w:rPr>
                <w:rFonts w:ascii="Calibri" w:hAnsi="Calibri"/>
                <w:b/>
                <w:i w:val="0"/>
                <w:color w:val="2D3748"/>
                <w:sz w:val="19"/>
              </w:rPr>
              <w:t>Moderate Exposure</w:t>
            </w:r>
          </w:p>
        </w:tc>
        <w:tc>
          <w:tcPr>
            <w:tcW w:type="dxa" w:w="3010"/>
            <w:tcMar>
              <w:top w:w="100" w:type="dxa"/>
              <w:bottom w:w="100" w:type="dxa"/>
              <w:left w:w="130" w:type="dxa"/>
              <w:right w:w="130" w:type="dxa"/>
            </w:tcMar>
            <w:vAlign w:val="center"/>
            <w:shd w:fill="FFFFFF"/>
          </w:tcPr>
          <w:p>
            <w:pPr>
              <w:spacing w:before="40" w:after="40" w:line="276" w:lineRule="auto"/>
              <w:jc w:val="left"/>
            </w:pPr>
            <w:r>
              <w:rPr>
                <w:rFonts w:ascii="Calibri" w:hAnsi="Calibri"/>
                <w:b w:val="0"/>
                <w:i w:val="0"/>
                <w:color w:val="2D3748"/>
                <w:sz w:val="19"/>
              </w:rPr>
              <w:t>Significant missing defenses (unenforced HTTPS, missing headers, unauthenticated email).</w:t>
            </w:r>
          </w:p>
        </w:tc>
      </w:tr>
      <w:tr>
        <w:tc>
          <w:tcPr>
            <w:tcW w:type="dxa" w:w="3010"/>
            <w:tcMar>
              <w:top w:w="100" w:type="dxa"/>
              <w:bottom w:w="100" w:type="dxa"/>
              <w:left w:w="130" w:type="dxa"/>
              <w:right w:w="130" w:type="dxa"/>
            </w:tcMar>
            <w:vAlign w:val="center"/>
            <w:shd w:fill="F7FAFC"/>
          </w:tcPr>
          <w:p>
            <w:pPr>
              <w:spacing w:before="40" w:after="40" w:line="276" w:lineRule="auto"/>
              <w:jc w:val="left"/>
            </w:pPr>
            <w:r>
              <w:rPr>
                <w:rFonts w:ascii="Calibri" w:hAnsi="Calibri"/>
                <w:b/>
                <w:i w:val="0"/>
                <w:color w:val="2D3748"/>
                <w:sz w:val="19"/>
              </w:rPr>
              <w:t>0 – 39</w:t>
            </w:r>
          </w:p>
        </w:tc>
        <w:tc>
          <w:tcPr>
            <w:tcW w:type="dxa" w:w="3010"/>
            <w:tcMar>
              <w:top w:w="100" w:type="dxa"/>
              <w:bottom w:w="100" w:type="dxa"/>
              <w:left w:w="130" w:type="dxa"/>
              <w:right w:w="130" w:type="dxa"/>
            </w:tcMar>
            <w:vAlign w:val="center"/>
            <w:shd w:fill="F7FAFC"/>
          </w:tcPr>
          <w:p>
            <w:pPr>
              <w:spacing w:before="40" w:after="40" w:line="276" w:lineRule="auto"/>
              <w:jc w:val="left"/>
            </w:pPr>
            <w:r>
              <w:rPr>
                <w:rFonts w:ascii="Calibri" w:hAnsi="Calibri"/>
                <w:b/>
                <w:i w:val="0"/>
                <w:color w:val="2D3748"/>
                <w:sz w:val="19"/>
              </w:rPr>
              <w:t>Elevated Risk</w:t>
            </w:r>
          </w:p>
        </w:tc>
        <w:tc>
          <w:tcPr>
            <w:tcW w:type="dxa" w:w="3010"/>
            <w:tcMar>
              <w:top w:w="100" w:type="dxa"/>
              <w:bottom w:w="100" w:type="dxa"/>
              <w:left w:w="130" w:type="dxa"/>
              <w:right w:w="130" w:type="dxa"/>
            </w:tcMar>
            <w:vAlign w:val="center"/>
            <w:shd w:fill="F7FAFC"/>
          </w:tcPr>
          <w:p>
            <w:pPr>
              <w:spacing w:before="40" w:after="40" w:line="276" w:lineRule="auto"/>
              <w:jc w:val="left"/>
            </w:pPr>
            <w:r>
              <w:rPr>
                <w:rFonts w:ascii="Calibri" w:hAnsi="Calibri"/>
                <w:b w:val="0"/>
                <w:i w:val="0"/>
                <w:color w:val="2D3748"/>
                <w:sz w:val="19"/>
              </w:rPr>
              <w:t>Critical exposure (plaintext HTTP, imminent certificate expiry, exposed databases, or unpatched CVEs).</w:t>
            </w:r>
          </w:p>
        </w:tc>
      </w:tr>
    </w:tbl>
    <w:p>
      <w:pPr>
        <w:spacing w:after="80"/>
      </w:pPr>
    </w:p>
    <w:p>
      <w:pPr>
        <w:spacing w:before="120" w:after="120" w:line="300" w:lineRule="auto"/>
        <w:jc w:val="center"/>
      </w:pPr>
      <w:r>
        <w:rPr>
          <w:color w:val="E2E8F0"/>
          <w:sz w:val="20"/>
        </w:rPr>
        <w:t>―――――――――――――――――――――――――――――――――――――――――――――――――――――――</w:t>
      </w:r>
    </w:p>
    <w:p>
      <w:pPr>
        <w:keepNext/>
        <w:spacing w:before="280" w:after="80" w:line="300" w:lineRule="auto"/>
        <w:jc w:val="left"/>
      </w:pPr>
      <w:r>
        <w:rPr>
          <w:rFonts w:ascii="Calibri" w:hAnsi="Calibri"/>
          <w:b/>
          <w:i w:val="0"/>
          <w:color w:val="2B6CB0"/>
          <w:sz w:val="30"/>
        </w:rPr>
        <w:t>14. USER INTERFACE AND VISUALIZATION</w:t>
      </w:r>
    </w:p>
    <w:p>
      <w:pPr>
        <w:keepNext/>
        <w:spacing w:before="200" w:after="60" w:line="300" w:lineRule="auto"/>
        <w:jc w:val="left"/>
      </w:pPr>
      <w:r>
        <w:rPr>
          <w:rFonts w:ascii="Calibri" w:hAnsi="Calibri"/>
          <w:b/>
          <w:i w:val="0"/>
          <w:color w:val="2C5282"/>
          <w:sz w:val="25"/>
        </w:rPr>
        <w:t>14.1 Editorial Field-Report Design Aesthetic</w:t>
      </w:r>
    </w:p>
    <w:p>
      <w:pPr>
        <w:spacing w:before="40" w:after="120" w:line="300" w:lineRule="auto"/>
        <w:jc w:val="both"/>
      </w:pPr>
      <w:r>
        <w:rPr>
          <w:rFonts w:ascii="Calibri" w:hAnsi="Calibri"/>
          <w:b w:val="0"/>
          <w:i w:val="0"/>
          <w:color w:val="2D3748"/>
          <w:sz w:val="22"/>
        </w:rPr>
        <w:t>The user interface rejects the generic visual patterns of contemporary AI-generated websites (e.g., heavy drop shadows, neon accents, saturated gradient cards). Instead, it adopts an editorial "field report" aesthetic:</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Typography:</w:t>
      </w:r>
      <w:r>
        <w:rPr>
          <w:rFonts w:ascii="Calibri" w:hAnsi="Calibri"/>
          <w:b w:val="0"/>
          <w:i w:val="0"/>
          <w:color w:val="2D3748"/>
          <w:sz w:val="21"/>
        </w:rPr>
        <w:t xml:space="preserve"> Serif display headlines (Newsreader) paired with neutral body sans-serif and tabular monospace data readouts.</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Color Palette:</w:t>
      </w:r>
      <w:r>
        <w:rPr>
          <w:rFonts w:ascii="Calibri" w:hAnsi="Calibri"/>
          <w:b w:val="0"/>
          <w:i w:val="0"/>
          <w:color w:val="2D3748"/>
          <w:sz w:val="21"/>
        </w:rPr>
        <w:t xml:space="preserve"> Warm paper backgrounds, crisp hairline borders (</w:t>
      </w:r>
      <w:r>
        <w:rPr>
          <w:rFonts w:ascii="Consolas" w:hAnsi="Consolas"/>
          <w:b w:val="0"/>
          <w:i w:val="0"/>
          <w:color w:val="2C5282"/>
          <w:sz w:val="19"/>
        </w:rPr>
        <w:t>1px solid var(--border-technical)</w:t>
      </w:r>
      <w:r>
        <w:rPr>
          <w:rFonts w:ascii="Calibri" w:hAnsi="Calibri"/>
          <w:b w:val="0"/>
          <w:i w:val="0"/>
          <w:color w:val="2D3748"/>
          <w:sz w:val="21"/>
        </w:rPr>
        <w:t>), and restrained status tags.</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Dual Themes:</w:t>
      </w:r>
      <w:r>
        <w:rPr>
          <w:rFonts w:ascii="Calibri" w:hAnsi="Calibri"/>
          <w:b w:val="0"/>
          <w:i w:val="0"/>
          <w:color w:val="2D3748"/>
          <w:sz w:val="21"/>
        </w:rPr>
        <w:t xml:space="preserve"> Cohesive Dark Theme (charcoal, slate, and phosphor accents) and Light Theme (cream, warm white, and deep ink accents), toggled seamlessly without layout shifts.</w:t>
      </w:r>
    </w:p>
    <w:p>
      <w:pPr>
        <w:keepNext/>
        <w:spacing w:before="200" w:after="60" w:line="300" w:lineRule="auto"/>
        <w:jc w:val="left"/>
      </w:pPr>
      <w:r>
        <w:rPr>
          <w:rFonts w:ascii="Calibri" w:hAnsi="Calibri"/>
          <w:b/>
          <w:i w:val="0"/>
          <w:color w:val="2C5282"/>
          <w:sz w:val="25"/>
        </w:rPr>
        <w:t>14.2 Key Interface Components</w:t>
      </w:r>
    </w:p>
    <w:p>
      <w:pPr>
        <w:spacing w:before="20" w:after="60" w:line="276" w:lineRule="auto"/>
        <w:ind w:left="360"/>
        <w:jc w:val="left"/>
      </w:pPr>
      <w:r>
        <w:rPr>
          <w:rFonts w:ascii="Calibri" w:hAnsi="Calibri"/>
          <w:b/>
          <w:i w:val="0"/>
          <w:color w:val="2B6CB0"/>
          <w:sz w:val="21"/>
        </w:rPr>
        <w:t xml:space="preserve">1.  </w:t>
      </w:r>
      <w:r>
        <w:rPr>
          <w:rFonts w:ascii="Calibri" w:hAnsi="Calibri"/>
          <w:b/>
          <w:i w:val="0"/>
          <w:color w:val="2D3748"/>
          <w:sz w:val="21"/>
        </w:rPr>
        <w:t>Scan Overview Card (`ScanOverviewCard.tsx`):</w:t>
      </w:r>
      <w:r>
        <w:rPr>
          <w:rFonts w:ascii="Calibri" w:hAnsi="Calibri"/>
          <w:b w:val="0"/>
          <w:i w:val="0"/>
          <w:color w:val="2D3748"/>
          <w:sz w:val="21"/>
        </w:rPr>
        <w:t xml:space="preserve"> Displays target domain, edge provider identification (e.g., Cloudflare, AWS Cloud), probe completeness (e.g., "6/6 PROBES"), telemetry count grid (Assets, Relations, Signals, Findings), the security posture gauge, and the collapsible </w:t>
      </w:r>
      <w:r>
        <w:rPr>
          <w:rFonts w:ascii="Calibri" w:hAnsi="Calibri"/>
          <w:b/>
          <w:i w:val="0"/>
          <w:color w:val="2D3748"/>
          <w:sz w:val="21"/>
        </w:rPr>
        <w:t>Hygiene Score Audit</w:t>
      </w:r>
      <w:r>
        <w:rPr>
          <w:rFonts w:ascii="Calibri" w:hAnsi="Calibri"/>
          <w:b w:val="0"/>
          <w:i w:val="0"/>
          <w:color w:val="2D3748"/>
          <w:sz w:val="21"/>
        </w:rPr>
        <w:t xml:space="preserve"> drawer breaking down exact point deductions.</w:t>
      </w:r>
    </w:p>
    <w:p>
      <w:pPr>
        <w:spacing w:before="20" w:after="60" w:line="276" w:lineRule="auto"/>
        <w:ind w:left="360"/>
        <w:jc w:val="left"/>
      </w:pPr>
      <w:r>
        <w:rPr>
          <w:rFonts w:ascii="Calibri" w:hAnsi="Calibri"/>
          <w:b/>
          <w:i w:val="0"/>
          <w:color w:val="2B6CB0"/>
          <w:sz w:val="21"/>
        </w:rPr>
        <w:t xml:space="preserve">2.  </w:t>
      </w:r>
      <w:r>
        <w:rPr>
          <w:rFonts w:ascii="Calibri" w:hAnsi="Calibri"/>
          <w:b/>
          <w:i w:val="0"/>
          <w:color w:val="2D3748"/>
          <w:sz w:val="21"/>
        </w:rPr>
        <w:t>Attack Surface Graph (`AttackSurfaceGraph.tsx`):</w:t>
      </w:r>
      <w:r>
        <w:rPr>
          <w:rFonts w:ascii="Calibri" w:hAnsi="Calibri"/>
          <w:b w:val="0"/>
          <w:i w:val="0"/>
          <w:color w:val="2D3748"/>
          <w:sz w:val="21"/>
        </w:rPr>
        <w:t xml:space="preserve"> Interactive SVG visualization displaying discovered assets as interconnected nodes. Clicking a node opens an inspection drawer showing associated evidence and connected assets.</w:t>
      </w:r>
    </w:p>
    <w:p>
      <w:pPr>
        <w:spacing w:before="20" w:after="60" w:line="276" w:lineRule="auto"/>
        <w:ind w:left="360"/>
        <w:jc w:val="left"/>
      </w:pPr>
      <w:r>
        <w:rPr>
          <w:rFonts w:ascii="Calibri" w:hAnsi="Calibri"/>
          <w:b/>
          <w:i w:val="0"/>
          <w:color w:val="2B6CB0"/>
          <w:sz w:val="21"/>
        </w:rPr>
        <w:t xml:space="preserve">3.  </w:t>
      </w:r>
      <w:r>
        <w:rPr>
          <w:rFonts w:ascii="Calibri" w:hAnsi="Calibri"/>
          <w:b/>
          <w:i w:val="0"/>
          <w:color w:val="2D3748"/>
          <w:sz w:val="21"/>
        </w:rPr>
        <w:t>Infrastructure Map (`InfrastructureMap.tsx`):</w:t>
      </w:r>
      <w:r>
        <w:rPr>
          <w:rFonts w:ascii="Calibri" w:hAnsi="Calibri"/>
          <w:b w:val="0"/>
          <w:i w:val="0"/>
          <w:color w:val="2D3748"/>
          <w:sz w:val="21"/>
        </w:rPr>
        <w:t xml:space="preserve"> Renders an OpenStreetMap canvas via Leaflet. Discovered IP addresses are plotted with popups displaying ASN, hosting organization, and geographic location.</w:t>
      </w:r>
    </w:p>
    <w:p>
      <w:pPr>
        <w:spacing w:before="20" w:after="60" w:line="276" w:lineRule="auto"/>
        <w:ind w:left="360"/>
        <w:jc w:val="left"/>
      </w:pPr>
      <w:r>
        <w:rPr>
          <w:rFonts w:ascii="Calibri" w:hAnsi="Calibri"/>
          <w:b/>
          <w:i w:val="0"/>
          <w:color w:val="2B6CB0"/>
          <w:sz w:val="21"/>
        </w:rPr>
        <w:t xml:space="preserve">4.  </w:t>
      </w:r>
      <w:r>
        <w:rPr>
          <w:rFonts w:ascii="Calibri" w:hAnsi="Calibri"/>
          <w:b/>
          <w:i w:val="0"/>
          <w:color w:val="2D3748"/>
          <w:sz w:val="21"/>
        </w:rPr>
        <w:t>Asset Inventory Table (`AssetsInventoryTable.tsx`):</w:t>
      </w:r>
      <w:r>
        <w:rPr>
          <w:rFonts w:ascii="Calibri" w:hAnsi="Calibri"/>
          <w:b w:val="0"/>
          <w:i w:val="0"/>
          <w:color w:val="2D3748"/>
          <w:sz w:val="21"/>
        </w:rPr>
        <w:t xml:space="preserve"> High-density tabular inventory supporting text filtering, asset type filtering, evidence inspection, and raw JSON export.</w:t>
      </w:r>
    </w:p>
    <w:p>
      <w:pPr>
        <w:spacing w:before="20" w:after="60" w:line="276" w:lineRule="auto"/>
        <w:ind w:left="360"/>
        <w:jc w:val="left"/>
      </w:pPr>
      <w:r>
        <w:rPr>
          <w:rFonts w:ascii="Calibri" w:hAnsi="Calibri"/>
          <w:b/>
          <w:i w:val="0"/>
          <w:color w:val="2B6CB0"/>
          <w:sz w:val="21"/>
        </w:rPr>
        <w:t xml:space="preserve">5.  </w:t>
      </w:r>
      <w:r>
        <w:rPr>
          <w:rFonts w:ascii="Calibri" w:hAnsi="Calibri"/>
          <w:b/>
          <w:i w:val="0"/>
          <w:color w:val="2D3748"/>
          <w:sz w:val="21"/>
        </w:rPr>
        <w:t>Findings Section (`FindingsSection.tsx`):</w:t>
      </w:r>
      <w:r>
        <w:rPr>
          <w:rFonts w:ascii="Calibri" w:hAnsi="Calibri"/>
          <w:b w:val="0"/>
          <w:i w:val="0"/>
          <w:color w:val="2D3748"/>
          <w:sz w:val="21"/>
        </w:rPr>
        <w:t xml:space="preserve"> Categorized accordion grouping findings by severity. Each finding expands to reveal its full 10-section analytical breakdown.</w:t>
      </w:r>
    </w:p>
    <w:p>
      <w:pPr>
        <w:spacing w:before="20" w:after="60" w:line="276" w:lineRule="auto"/>
        <w:ind w:left="360"/>
        <w:jc w:val="left"/>
      </w:pPr>
      <w:r>
        <w:rPr>
          <w:rFonts w:ascii="Calibri" w:hAnsi="Calibri"/>
          <w:b/>
          <w:i w:val="0"/>
          <w:color w:val="2B6CB0"/>
          <w:sz w:val="21"/>
        </w:rPr>
        <w:t xml:space="preserve">6.  </w:t>
      </w:r>
      <w:r>
        <w:rPr>
          <w:rFonts w:ascii="Calibri" w:hAnsi="Calibri"/>
          <w:b/>
          <w:i w:val="0"/>
          <w:color w:val="2D3748"/>
          <w:sz w:val="21"/>
        </w:rPr>
        <w:t>Audit Dossier Report Page (`ReportPage.tsx`):</w:t>
      </w:r>
      <w:r>
        <w:rPr>
          <w:rFonts w:ascii="Calibri" w:hAnsi="Calibri"/>
          <w:b w:val="0"/>
          <w:i w:val="0"/>
          <w:color w:val="2D3748"/>
          <w:sz w:val="21"/>
        </w:rPr>
        <w:t xml:space="preserve"> A clean, print-optimized document view accessible via </w:t>
      </w:r>
      <w:r>
        <w:rPr>
          <w:rFonts w:ascii="Consolas" w:hAnsi="Consolas"/>
          <w:b w:val="0"/>
          <w:i w:val="0"/>
          <w:color w:val="2C5282"/>
          <w:sz w:val="19"/>
        </w:rPr>
        <w:t>/report/:id</w:t>
      </w:r>
      <w:r>
        <w:rPr>
          <w:rFonts w:ascii="Calibri" w:hAnsi="Calibri"/>
          <w:b w:val="0"/>
          <w:i w:val="0"/>
          <w:color w:val="2D3748"/>
          <w:sz w:val="21"/>
        </w:rPr>
        <w:t>. Formatted for formal PDF export or executive briefings.</w:t>
      </w:r>
    </w:p>
    <w:p>
      <w:pPr>
        <w:spacing w:before="20" w:after="60" w:line="276" w:lineRule="auto"/>
        <w:ind w:left="360"/>
        <w:jc w:val="left"/>
      </w:pPr>
      <w:r>
        <w:rPr>
          <w:rFonts w:ascii="Calibri" w:hAnsi="Calibri"/>
          <w:b/>
          <w:i w:val="0"/>
          <w:color w:val="2B6CB0"/>
          <w:sz w:val="21"/>
        </w:rPr>
        <w:t xml:space="preserve">7.  </w:t>
      </w:r>
      <w:r>
        <w:rPr>
          <w:rFonts w:ascii="Calibri" w:hAnsi="Calibri"/>
          <w:b/>
          <w:i w:val="0"/>
          <w:color w:val="2D3748"/>
          <w:sz w:val="21"/>
        </w:rPr>
        <w:t>Scan Comparison View (`ComparisonPage.tsx`):</w:t>
      </w:r>
      <w:r>
        <w:rPr>
          <w:rFonts w:ascii="Calibri" w:hAnsi="Calibri"/>
          <w:b w:val="0"/>
          <w:i w:val="0"/>
          <w:color w:val="2D3748"/>
          <w:sz w:val="21"/>
        </w:rPr>
        <w:t xml:space="preserve"> Side-by-side historical audit tool computing asset additions/removals, score drift, certificate changes, and resolved findings between two scans.</w:t>
      </w:r>
    </w:p>
    <w:p>
      <w:pPr>
        <w:spacing w:before="120" w:after="120" w:line="300" w:lineRule="auto"/>
        <w:jc w:val="center"/>
      </w:pPr>
      <w:r>
        <w:rPr>
          <w:color w:val="E2E8F0"/>
          <w:sz w:val="20"/>
        </w:rPr>
        <w:t>―――――――――――――――――――――――――――――――――――――――――――――――――――――――</w:t>
      </w:r>
    </w:p>
    <w:p>
      <w:pPr>
        <w:keepNext/>
        <w:spacing w:before="280" w:after="80" w:line="300" w:lineRule="auto"/>
        <w:jc w:val="left"/>
      </w:pPr>
      <w:r>
        <w:rPr>
          <w:rFonts w:ascii="Calibri" w:hAnsi="Calibri"/>
          <w:b/>
          <w:i w:val="0"/>
          <w:color w:val="2B6CB0"/>
          <w:sz w:val="30"/>
        </w:rPr>
        <w:t>15. SECURITY, PRIVACY, AND SAFETY BOUNDARIES</w:t>
      </w:r>
    </w:p>
    <w:p>
      <w:pPr>
        <w:keepNext/>
        <w:spacing w:before="200" w:after="60" w:line="300" w:lineRule="auto"/>
        <w:jc w:val="left"/>
      </w:pPr>
      <w:r>
        <w:rPr>
          <w:rFonts w:ascii="Calibri" w:hAnsi="Calibri"/>
          <w:b/>
          <w:i w:val="0"/>
          <w:color w:val="2C5282"/>
          <w:sz w:val="25"/>
        </w:rPr>
        <w:t>15.1 Defensive Boundaries and Non-Intrusive Scope</w:t>
      </w:r>
    </w:p>
    <w:p>
      <w:pPr>
        <w:spacing w:before="40" w:after="120" w:line="300" w:lineRule="auto"/>
        <w:jc w:val="both"/>
      </w:pPr>
      <w:r>
        <w:rPr>
          <w:rFonts w:ascii="Calibri" w:hAnsi="Calibri"/>
          <w:b w:val="0"/>
          <w:i w:val="0"/>
          <w:color w:val="2D3748"/>
          <w:sz w:val="22"/>
        </w:rPr>
        <w:t>DASS is intentionally engineered to prevent weaponization:</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No Intrusive Scanning:</w:t>
      </w:r>
      <w:r>
        <w:rPr>
          <w:rFonts w:ascii="Calibri" w:hAnsi="Calibri"/>
          <w:b w:val="0"/>
          <w:i w:val="0"/>
          <w:color w:val="2D3748"/>
          <w:sz w:val="21"/>
        </w:rPr>
        <w:t xml:space="preserve"> It does not execute TCP/UDP port sweeps, directory fuzzing, or exploit testing.</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No Credential Harvesting:</w:t>
      </w:r>
      <w:r>
        <w:rPr>
          <w:rFonts w:ascii="Calibri" w:hAnsi="Calibri"/>
          <w:b w:val="0"/>
          <w:i w:val="0"/>
          <w:color w:val="2D3748"/>
          <w:sz w:val="21"/>
        </w:rPr>
        <w:t xml:space="preserve"> Breach exposure checks display presence metadata and leak dates; they strictly refuse to retrieve, store, or display raw credentials, passwords, or password hashes.</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No Bucket Dumping:</w:t>
      </w:r>
      <w:r>
        <w:rPr>
          <w:rFonts w:ascii="Calibri" w:hAnsi="Calibri"/>
          <w:b w:val="0"/>
          <w:i w:val="0"/>
          <w:color w:val="2D3748"/>
          <w:sz w:val="21"/>
        </w:rPr>
        <w:t xml:space="preserve"> Cloud storage checks issue HTTP </w:t>
      </w:r>
      <w:r>
        <w:rPr>
          <w:rFonts w:ascii="Consolas" w:hAnsi="Consolas"/>
          <w:b w:val="0"/>
          <w:i w:val="0"/>
          <w:color w:val="2C5282"/>
          <w:sz w:val="19"/>
        </w:rPr>
        <w:t>HEAD</w:t>
      </w:r>
      <w:r>
        <w:rPr>
          <w:rFonts w:ascii="Calibri" w:hAnsi="Calibri"/>
          <w:b w:val="0"/>
          <w:i w:val="0"/>
          <w:color w:val="2D3748"/>
          <w:sz w:val="21"/>
        </w:rPr>
        <w:t xml:space="preserve"> requests to verify public bucket accessibility; they never enumerate or download bucket objects.</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Privacy Filtering in Document Analysis:</w:t>
      </w:r>
      <w:r>
        <w:rPr>
          <w:rFonts w:ascii="Calibri" w:hAnsi="Calibri"/>
          <w:b w:val="0"/>
          <w:i w:val="0"/>
          <w:color w:val="2D3748"/>
          <w:sz w:val="21"/>
        </w:rPr>
        <w:t xml:space="preserve"> Document metadata extraction filters out author names and internal system paths to protect employee privacy.</w:t>
      </w:r>
    </w:p>
    <w:p>
      <w:pPr>
        <w:keepNext/>
        <w:spacing w:before="200" w:after="60" w:line="300" w:lineRule="auto"/>
        <w:jc w:val="left"/>
      </w:pPr>
      <w:r>
        <w:rPr>
          <w:rFonts w:ascii="Calibri" w:hAnsi="Calibri"/>
          <w:b/>
          <w:i w:val="0"/>
          <w:color w:val="2C5282"/>
          <w:sz w:val="25"/>
        </w:rPr>
        <w:t>15.2 Server-Side Request Forgery (SSRF) Hardening</w:t>
      </w:r>
    </w:p>
    <w:p>
      <w:pPr>
        <w:spacing w:before="40" w:after="120" w:line="300" w:lineRule="auto"/>
        <w:jc w:val="both"/>
      </w:pPr>
      <w:r>
        <w:rPr>
          <w:rFonts w:ascii="Calibri" w:hAnsi="Calibri"/>
          <w:b w:val="0"/>
          <w:i w:val="0"/>
          <w:color w:val="2D3748"/>
          <w:sz w:val="22"/>
        </w:rPr>
        <w:t>To prevent the application from being abused as a proxy to probe internal networks, DASS enforces multi-layered SSRF filtering:</w:t>
      </w:r>
    </w:p>
    <w:p>
      <w:pPr>
        <w:spacing w:before="20" w:after="60" w:line="276" w:lineRule="auto"/>
        <w:ind w:left="360"/>
        <w:jc w:val="left"/>
      </w:pPr>
      <w:r>
        <w:rPr>
          <w:rFonts w:ascii="Calibri" w:hAnsi="Calibri"/>
          <w:b/>
          <w:i w:val="0"/>
          <w:color w:val="2B6CB0"/>
          <w:sz w:val="18"/>
        </w:rPr>
        <w:t xml:space="preserve">▪  </w:t>
      </w:r>
      <w:r>
        <w:rPr>
          <w:rFonts w:ascii="Calibri" w:hAnsi="Calibri"/>
          <w:b w:val="0"/>
          <w:i w:val="0"/>
          <w:color w:val="2D3748"/>
          <w:sz w:val="21"/>
        </w:rPr>
        <w:t>Validates domain syntax and rejects numeric IP inputs, localhost, and non-canonical TLDs (</w:t>
      </w:r>
      <w:r>
        <w:rPr>
          <w:rFonts w:ascii="Consolas" w:hAnsi="Consolas"/>
          <w:b w:val="0"/>
          <w:i w:val="0"/>
          <w:color w:val="2C5282"/>
          <w:sz w:val="19"/>
        </w:rPr>
        <w:t>.internal</w:t>
      </w:r>
      <w:r>
        <w:rPr>
          <w:rFonts w:ascii="Calibri" w:hAnsi="Calibri"/>
          <w:b w:val="0"/>
          <w:i w:val="0"/>
          <w:color w:val="2D3748"/>
          <w:sz w:val="21"/>
        </w:rPr>
        <w:t xml:space="preserve">, </w:t>
      </w:r>
      <w:r>
        <w:rPr>
          <w:rFonts w:ascii="Consolas" w:hAnsi="Consolas"/>
          <w:b w:val="0"/>
          <w:i w:val="0"/>
          <w:color w:val="2C5282"/>
          <w:sz w:val="19"/>
        </w:rPr>
        <w:t>.local</w:t>
      </w:r>
      <w:r>
        <w:rPr>
          <w:rFonts w:ascii="Calibri" w:hAnsi="Calibri"/>
          <w:b w:val="0"/>
          <w:i w:val="0"/>
          <w:color w:val="2D3748"/>
          <w:sz w:val="21"/>
        </w:rPr>
        <w:t xml:space="preserve">, </w:t>
      </w:r>
      <w:r>
        <w:rPr>
          <w:rFonts w:ascii="Consolas" w:hAnsi="Consolas"/>
          <w:b w:val="0"/>
          <w:i w:val="0"/>
          <w:color w:val="2C5282"/>
          <w:sz w:val="19"/>
        </w:rPr>
        <w:t>.onion</w:t>
      </w:r>
      <w:r>
        <w:rPr>
          <w:rFonts w:ascii="Calibri" w:hAnsi="Calibri"/>
          <w:b w:val="0"/>
          <w:i w:val="0"/>
          <w:color w:val="2D3748"/>
          <w:sz w:val="21"/>
        </w:rPr>
        <w:t>).</w:t>
      </w:r>
    </w:p>
    <w:p>
      <w:pPr>
        <w:spacing w:before="20" w:after="60" w:line="276" w:lineRule="auto"/>
        <w:ind w:left="360"/>
        <w:jc w:val="left"/>
      </w:pPr>
      <w:r>
        <w:rPr>
          <w:rFonts w:ascii="Calibri" w:hAnsi="Calibri"/>
          <w:b/>
          <w:i w:val="0"/>
          <w:color w:val="2B6CB0"/>
          <w:sz w:val="18"/>
        </w:rPr>
        <w:t xml:space="preserve">▪  </w:t>
      </w:r>
      <w:r>
        <w:rPr>
          <w:rFonts w:ascii="Calibri" w:hAnsi="Calibri"/>
          <w:b w:val="0"/>
          <w:i w:val="0"/>
          <w:color w:val="2D3748"/>
          <w:sz w:val="21"/>
        </w:rPr>
        <w:t xml:space="preserve">Resolves hostnames via authoritative DNS and verifies every resolved IP against blacklisted CIDR ranges (RFC 1918, RFC 3927 link-local, loopback, carrier-grade NAT, multicast, and AWS cloud metadata </w:t>
      </w:r>
      <w:r>
        <w:rPr>
          <w:rFonts w:ascii="Consolas" w:hAnsi="Consolas"/>
          <w:b w:val="0"/>
          <w:i w:val="0"/>
          <w:color w:val="2C5282"/>
          <w:sz w:val="19"/>
        </w:rPr>
        <w:t>169.254.169.254</w:t>
      </w:r>
      <w:r>
        <w:rPr>
          <w:rFonts w:ascii="Calibri" w:hAnsi="Calibri"/>
          <w:b w:val="0"/>
          <w:i w:val="0"/>
          <w:color w:val="2D3748"/>
          <w:sz w:val="21"/>
        </w:rPr>
        <w:t>).</w:t>
      </w:r>
    </w:p>
    <w:p>
      <w:pPr>
        <w:spacing w:before="20" w:after="60" w:line="276" w:lineRule="auto"/>
        <w:ind w:left="360"/>
        <w:jc w:val="left"/>
      </w:pPr>
      <w:r>
        <w:rPr>
          <w:rFonts w:ascii="Calibri" w:hAnsi="Calibri"/>
          <w:b/>
          <w:i w:val="0"/>
          <w:color w:val="2B6CB0"/>
          <w:sz w:val="18"/>
        </w:rPr>
        <w:t xml:space="preserve">▪  </w:t>
      </w:r>
      <w:r>
        <w:rPr>
          <w:rFonts w:ascii="Calibri" w:hAnsi="Calibri"/>
          <w:b w:val="0"/>
          <w:i w:val="0"/>
          <w:color w:val="2D3748"/>
          <w:sz w:val="21"/>
        </w:rPr>
        <w:t xml:space="preserve">Pins outgoing HTTP requests in </w:t>
      </w:r>
      <w:r>
        <w:rPr>
          <w:rFonts w:ascii="Consolas" w:hAnsi="Consolas"/>
          <w:b w:val="0"/>
          <w:i w:val="0"/>
          <w:color w:val="2C5282"/>
          <w:sz w:val="19"/>
        </w:rPr>
        <w:t>safeHttp.ts</w:t>
      </w:r>
      <w:r>
        <w:rPr>
          <w:rFonts w:ascii="Calibri" w:hAnsi="Calibri"/>
          <w:b w:val="0"/>
          <w:i w:val="0"/>
          <w:color w:val="2D3748"/>
          <w:sz w:val="21"/>
        </w:rPr>
        <w:t>, re-verifying target IPs on every redirect hop (up to 3 hops maximum).</w:t>
      </w:r>
    </w:p>
    <w:p>
      <w:pPr>
        <w:spacing w:before="20" w:after="60" w:line="276" w:lineRule="auto"/>
        <w:ind w:left="360"/>
        <w:jc w:val="left"/>
      </w:pPr>
      <w:r>
        <w:rPr>
          <w:rFonts w:ascii="Calibri" w:hAnsi="Calibri"/>
          <w:b/>
          <w:i w:val="0"/>
          <w:color w:val="2B6CB0"/>
          <w:sz w:val="18"/>
        </w:rPr>
        <w:t xml:space="preserve">▪  </w:t>
      </w:r>
      <w:r>
        <w:rPr>
          <w:rFonts w:ascii="Calibri" w:hAnsi="Calibri"/>
          <w:b w:val="0"/>
          <w:i w:val="0"/>
          <w:color w:val="2D3748"/>
          <w:sz w:val="21"/>
        </w:rPr>
        <w:t>Enforces a 512 KB response size limit to prevent memory exhaustion attacks.</w:t>
      </w:r>
    </w:p>
    <w:p>
      <w:pPr>
        <w:keepNext/>
        <w:spacing w:before="200" w:after="60" w:line="300" w:lineRule="auto"/>
        <w:jc w:val="left"/>
      </w:pPr>
      <w:r>
        <w:rPr>
          <w:rFonts w:ascii="Calibri" w:hAnsi="Calibri"/>
          <w:b/>
          <w:i w:val="0"/>
          <w:color w:val="2C5282"/>
          <w:sz w:val="25"/>
        </w:rPr>
        <w:t>15.3 Rate Limiting &amp; Resource Protection</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Sliding-Window Quotas:</w:t>
      </w:r>
      <w:r>
        <w:rPr>
          <w:rFonts w:ascii="Calibri" w:hAnsi="Calibri"/>
          <w:b w:val="0"/>
          <w:i w:val="0"/>
          <w:color w:val="2D3748"/>
          <w:sz w:val="21"/>
        </w:rPr>
        <w:t xml:space="preserve"> Enforces 5 scans/hour for anonymous visitors (tracked by client IP) and 50 scans/hour for registered accounts (tracked by user ID).</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Scan Request Budgets:</w:t>
      </w:r>
      <w:r>
        <w:rPr>
          <w:rFonts w:ascii="Calibri" w:hAnsi="Calibri"/>
          <w:b w:val="0"/>
          <w:i w:val="0"/>
          <w:color w:val="2D3748"/>
          <w:sz w:val="21"/>
        </w:rPr>
        <w:t xml:space="preserve"> Allocates a strict request budget (default 30 external queries per scan) enforced by </w:t>
      </w:r>
      <w:r>
        <w:rPr>
          <w:rFonts w:ascii="Consolas" w:hAnsi="Consolas"/>
          <w:b w:val="0"/>
          <w:i w:val="0"/>
          <w:color w:val="2C5282"/>
          <w:sz w:val="19"/>
        </w:rPr>
        <w:t>scanBudget.ts</w:t>
      </w:r>
      <w:r>
        <w:rPr>
          <w:rFonts w:ascii="Calibri" w:hAnsi="Calibri"/>
          <w:b w:val="0"/>
          <w:i w:val="0"/>
          <w:color w:val="2D3748"/>
          <w:sz w:val="21"/>
        </w:rPr>
        <w:t>.</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Concurrency Controls:</w:t>
      </w:r>
      <w:r>
        <w:rPr>
          <w:rFonts w:ascii="Calibri" w:hAnsi="Calibri"/>
          <w:b w:val="0"/>
          <w:i w:val="0"/>
          <w:color w:val="2D3748"/>
          <w:sz w:val="21"/>
        </w:rPr>
        <w:t xml:space="preserve"> Limits concurrent active scans per client to prevent thread starvation.</w:t>
      </w:r>
    </w:p>
    <w:p>
      <w:pPr>
        <w:keepNext/>
        <w:spacing w:before="200" w:after="60" w:line="300" w:lineRule="auto"/>
        <w:jc w:val="left"/>
      </w:pPr>
      <w:r>
        <w:rPr>
          <w:rFonts w:ascii="Calibri" w:hAnsi="Calibri"/>
          <w:b/>
          <w:i w:val="0"/>
          <w:color w:val="2C5282"/>
          <w:sz w:val="25"/>
        </w:rPr>
        <w:t>15.4 Session Security &amp; Privacy Compliance</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Zero Anonymous Tracking:</w:t>
      </w:r>
      <w:r>
        <w:rPr>
          <w:rFonts w:ascii="Calibri" w:hAnsi="Calibri"/>
          <w:b w:val="0"/>
          <w:i w:val="0"/>
          <w:color w:val="2D3748"/>
          <w:sz w:val="21"/>
        </w:rPr>
        <w:t xml:space="preserve"> Unauthenticated visitors receive zero cookies. Anonymous scan history is cached strictly in the client's local browser memory.</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Secure Session Management:</w:t>
      </w:r>
      <w:r>
        <w:rPr>
          <w:rFonts w:ascii="Calibri" w:hAnsi="Calibri"/>
          <w:b w:val="0"/>
          <w:i w:val="0"/>
          <w:color w:val="2D3748"/>
          <w:sz w:val="21"/>
        </w:rPr>
        <w:t xml:space="preserve"> Authenticated sessions use cryptographically random 32-byte tokens issued in </w:t>
      </w:r>
      <w:r>
        <w:rPr>
          <w:rFonts w:ascii="Consolas" w:hAnsi="Consolas"/>
          <w:b w:val="0"/>
          <w:i w:val="0"/>
          <w:color w:val="2C5282"/>
          <w:sz w:val="19"/>
        </w:rPr>
        <w:t>HttpOnly</w:t>
      </w:r>
      <w:r>
        <w:rPr>
          <w:rFonts w:ascii="Calibri" w:hAnsi="Calibri"/>
          <w:b w:val="0"/>
          <w:i w:val="0"/>
          <w:color w:val="2D3748"/>
          <w:sz w:val="21"/>
        </w:rPr>
        <w:t xml:space="preserve">, </w:t>
      </w:r>
      <w:r>
        <w:rPr>
          <w:rFonts w:ascii="Consolas" w:hAnsi="Consolas"/>
          <w:b w:val="0"/>
          <w:i w:val="0"/>
          <w:color w:val="2C5282"/>
          <w:sz w:val="19"/>
        </w:rPr>
        <w:t>SameSite=Lax</w:t>
      </w:r>
      <w:r>
        <w:rPr>
          <w:rFonts w:ascii="Calibri" w:hAnsi="Calibri"/>
          <w:b w:val="0"/>
          <w:i w:val="0"/>
          <w:color w:val="2D3748"/>
          <w:sz w:val="21"/>
        </w:rPr>
        <w:t xml:space="preserve">, </w:t>
      </w:r>
      <w:r>
        <w:rPr>
          <w:rFonts w:ascii="Consolas" w:hAnsi="Consolas"/>
          <w:b w:val="0"/>
          <w:i w:val="0"/>
          <w:color w:val="2C5282"/>
          <w:sz w:val="19"/>
        </w:rPr>
        <w:t>Secure</w:t>
      </w:r>
      <w:r>
        <w:rPr>
          <w:rFonts w:ascii="Calibri" w:hAnsi="Calibri"/>
          <w:b w:val="0"/>
          <w:i w:val="0"/>
          <w:color w:val="2D3748"/>
          <w:sz w:val="21"/>
        </w:rPr>
        <w:t xml:space="preserve"> cookies.</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Account Deletion Cascade:</w:t>
      </w:r>
      <w:r>
        <w:rPr>
          <w:rFonts w:ascii="Calibri" w:hAnsi="Calibri"/>
          <w:b w:val="0"/>
          <w:i w:val="0"/>
          <w:color w:val="2D3748"/>
          <w:sz w:val="21"/>
        </w:rPr>
        <w:t xml:space="preserve"> Users can permanently delete their accounts (</w:t>
      </w:r>
      <w:r>
        <w:rPr>
          <w:rFonts w:ascii="Consolas" w:hAnsi="Consolas"/>
          <w:b w:val="0"/>
          <w:i w:val="0"/>
          <w:color w:val="2C5282"/>
          <w:sz w:val="19"/>
        </w:rPr>
        <w:t>DELETE /api/auth/me</w:t>
      </w:r>
      <w:r>
        <w:rPr>
          <w:rFonts w:ascii="Calibri" w:hAnsi="Calibri"/>
          <w:b w:val="0"/>
          <w:i w:val="0"/>
          <w:color w:val="2D3748"/>
          <w:sz w:val="21"/>
        </w:rPr>
        <w:t>). The operation cascades across the database, purging user records, active sessions, scan histories, and quota tracking entries.</w:t>
      </w:r>
    </w:p>
    <w:p>
      <w:pPr>
        <w:spacing w:before="120" w:after="120" w:line="300" w:lineRule="auto"/>
        <w:jc w:val="center"/>
      </w:pPr>
      <w:r>
        <w:rPr>
          <w:color w:val="E2E8F0"/>
          <w:sz w:val="20"/>
        </w:rPr>
        <w:t>―――――――――――――――――――――――――――――――――――――――――――――――――――――――</w:t>
      </w:r>
    </w:p>
    <w:p>
      <w:pPr>
        <w:keepNext/>
        <w:spacing w:before="280" w:after="80" w:line="300" w:lineRule="auto"/>
        <w:jc w:val="left"/>
      </w:pPr>
      <w:r>
        <w:rPr>
          <w:rFonts w:ascii="Calibri" w:hAnsi="Calibri"/>
          <w:b/>
          <w:i w:val="0"/>
          <w:color w:val="2B6CB0"/>
          <w:sz w:val="30"/>
        </w:rPr>
        <w:t>16. TESTING AND VALIDATION</w:t>
      </w:r>
    </w:p>
    <w:p>
      <w:pPr>
        <w:keepNext/>
        <w:spacing w:before="200" w:after="60" w:line="300" w:lineRule="auto"/>
        <w:jc w:val="left"/>
      </w:pPr>
      <w:r>
        <w:rPr>
          <w:rFonts w:ascii="Calibri" w:hAnsi="Calibri"/>
          <w:b/>
          <w:i w:val="0"/>
          <w:color w:val="2C5282"/>
          <w:sz w:val="25"/>
        </w:rPr>
        <w:t>16.1 Test Suite Organization</w:t>
      </w:r>
    </w:p>
    <w:p>
      <w:pPr>
        <w:spacing w:before="40" w:after="120" w:line="300" w:lineRule="auto"/>
        <w:jc w:val="both"/>
      </w:pPr>
      <w:r>
        <w:rPr>
          <w:rFonts w:ascii="Calibri" w:hAnsi="Calibri"/>
          <w:b w:val="0"/>
          <w:i w:val="0"/>
          <w:color w:val="2D3748"/>
          <w:sz w:val="22"/>
        </w:rPr>
        <w:t>The repository maintains comprehensive automated testing across both workspaces:</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Server Test Suite (`server/src/__tests__/`):</w:t>
      </w:r>
      <w:r>
        <w:rPr>
          <w:rFonts w:ascii="Calibri" w:hAnsi="Calibri"/>
          <w:b w:val="0"/>
          <w:i w:val="0"/>
          <w:color w:val="2D3748"/>
          <w:sz w:val="21"/>
        </w:rPr>
        <w:t xml:space="preserve"> 16 test files executed via Jest with ts-jest. Covers scanner orchestration, scoring logic, SSRF defenses, authentication, quota sliding windows, IP intelligence, DNSSEC, SPF/DMARC analysis, and end-to-end domain scanning.</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Client Test Suite (`client/src/__tests__/`):</w:t>
      </w:r>
      <w:r>
        <w:rPr>
          <w:rFonts w:ascii="Calibri" w:hAnsi="Calibri"/>
          <w:b w:val="0"/>
          <w:i w:val="0"/>
          <w:color w:val="2D3748"/>
          <w:sz w:val="21"/>
        </w:rPr>
        <w:t xml:space="preserve"> 10 test files executed via Vitest with jsdom and React Testing Library. Covers UI error boundaries, theme persistence, authentication forms, finding detail panels, and proxy handlers.</w:t>
      </w:r>
    </w:p>
    <w:p>
      <w:pPr>
        <w:keepNext/>
        <w:spacing w:before="200" w:after="60" w:line="300" w:lineRule="auto"/>
        <w:jc w:val="left"/>
      </w:pPr>
      <w:r>
        <w:rPr>
          <w:rFonts w:ascii="Calibri" w:hAnsi="Calibri"/>
          <w:b/>
          <w:i w:val="0"/>
          <w:color w:val="2C5282"/>
          <w:sz w:val="25"/>
        </w:rPr>
        <w:t>16.2 Verified Test Execution Results</w:t>
      </w:r>
    </w:p>
    <w:p>
      <w:pPr>
        <w:spacing w:before="40" w:after="120" w:line="300" w:lineRule="auto"/>
        <w:jc w:val="both"/>
      </w:pPr>
      <w:r>
        <w:rPr>
          <w:rFonts w:ascii="Calibri" w:hAnsi="Calibri"/>
          <w:b w:val="0"/>
          <w:i w:val="0"/>
          <w:color w:val="2D3748"/>
          <w:sz w:val="22"/>
        </w:rPr>
        <w:t xml:space="preserve">The complete automated test suite was executed directly in the project environment using </w:t>
      </w:r>
      <w:r>
        <w:rPr>
          <w:rFonts w:ascii="Consolas" w:hAnsi="Consolas"/>
          <w:b w:val="0"/>
          <w:i w:val="0"/>
          <w:color w:val="2C5282"/>
          <w:sz w:val="20"/>
        </w:rPr>
        <w:t>npm test</w:t>
      </w:r>
      <w:r>
        <w:rPr>
          <w:rFonts w:ascii="Calibri" w:hAnsi="Calibri"/>
          <w:b w:val="0"/>
          <w:i w:val="0"/>
          <w:color w:val="2D3748"/>
          <w:sz w:val="22"/>
        </w:rPr>
        <w:t>. Both suites passed with zero test failures:</w:t>
      </w:r>
    </w:p>
    <w:tbl>
      <w:tblPr>
        <w:tblW w:type="auto" w:w="0"/>
        <w:jc w:val="center"/>
        <w:tblLook w:firstColumn="1" w:firstRow="1" w:lastColumn="0" w:lastRow="0" w:noHBand="0" w:noVBand="1" w:val="04A0"/>
      </w:tblPr>
      <w:tblGrid>
        <w:gridCol w:w="9029"/>
      </w:tblGrid>
      <w:tr>
        <w:tc>
          <w:tcPr>
            <w:tcW w:type="dxa" w:w="9029"/>
            <w:tcMar>
              <w:top w:w="100" w:type="dxa"/>
              <w:bottom w:w="100" w:type="dxa"/>
              <w:left w:w="140" w:type="dxa"/>
              <w:right w:w="140" w:type="dxa"/>
            </w:tcMar>
            <w:shd w:fill="F1F5F9"/>
          </w:tcPr>
          <w:p>
            <w:pPr>
              <w:spacing w:before="40" w:after="40" w:line="252" w:lineRule="auto"/>
              <w:jc w:val="left"/>
            </w:pPr>
            <w:r>
              <w:rPr>
                <w:rFonts w:ascii="Consolas" w:hAnsi="Consolas"/>
                <w:b w:val="0"/>
                <w:i w:val="0"/>
                <w:color w:val="1A202C"/>
                <w:sz w:val="17"/>
              </w:rPr>
              <w:t>================================================================================</w:t>
              <w:br/>
              <w:t>SERVER TEST RESULTS (Jest v29.7.0):</w:t>
              <w:br/>
              <w:t xml:space="preserve">  PASS src/__tests__/assetExplanation.test.ts</w:t>
              <w:br/>
              <w:t xml:space="preserve">  PASS src/__tests__/authAndQuota.test.ts</w:t>
              <w:br/>
              <w:t xml:space="preserve">  PASS src/__tests__/dbStartup.test.ts</w:t>
              <w:br/>
              <w:t xml:space="preserve">  PASS src/__tests__/dmarcAnalysis.test.ts</w:t>
              <w:br/>
              <w:t xml:space="preserve">  PASS src/__tests__/dnssec.test.ts</w:t>
              <w:br/>
              <w:t xml:space="preserve">  PASS src/__tests__/hardening.test.ts</w:t>
              <w:br/>
              <w:t xml:space="preserve">  PASS src/__tests__/ipIntelligence.test.ts</w:t>
              <w:br/>
              <w:t xml:space="preserve">  PASS src/__tests__/phase2Findings.test.ts</w:t>
              <w:br/>
              <w:t xml:space="preserve">  PASS src/__tests__/phase3Services.test.ts</w:t>
              <w:br/>
              <w:t xml:space="preserve">  PASS src/__tests__/realDomainE2E.test.ts</w:t>
              <w:br/>
              <w:t xml:space="preserve">  PASS src/__tests__/scanner.test.ts</w:t>
              <w:br/>
              <w:t xml:space="preserve">  PASS src/__tests__/scoring.test.ts</w:t>
              <w:br/>
              <w:t xml:space="preserve">  PASS src/__tests__/shodanIntel.test.ts</w:t>
              <w:br/>
              <w:t xml:space="preserve">  PASS src/__tests__/spfAnalysis.test.ts</w:t>
              <w:br/>
              <w:t xml:space="preserve">  PASS src/__tests__/ssrfSecurity.test.ts</w:t>
              <w:br/>
              <w:t xml:space="preserve">  PASS src/__tests__/subdomains.test.ts</w:t>
              <w:br/>
              <w:br/>
              <w:t xml:space="preserve">  Test Suites: 16 passed, 16 total</w:t>
              <w:br/>
              <w:t xml:space="preserve">  Tests:       168 passed, 168 total</w:t>
              <w:br/>
              <w:t xml:space="preserve">  Snapshots:   0 total</w:t>
              <w:br/>
              <w:t xml:space="preserve">  Duration:    25.55 s</w:t>
              <w:br/>
              <w:t>================================================================================</w:t>
              <w:br/>
              <w:t>CLIENT TEST RESULTS (Vitest v5.0.1):</w:t>
              <w:br/>
              <w:t xml:space="preserve">  PASS src/lib/__tests__/api.test.ts (14 tests)</w:t>
              <w:br/>
              <w:t xml:space="preserve">  PASS src/__tests__/proxy.test.ts (8 tests)</w:t>
              <w:br/>
              <w:t xml:space="preserve">  PASS src/__tests__/ThemeContext.test.tsx (4 tests)</w:t>
              <w:br/>
              <w:t xml:space="preserve">  PASS src/__tests__/ErrorBoundary.test.tsx (2 tests)</w:t>
              <w:br/>
              <w:t xml:space="preserve">  PASS src/__tests__/FindingDetailPanel.test.tsx (2 tests)</w:t>
              <w:br/>
              <w:t xml:space="preserve">  PASS src/__tests__/narrativeAndFindings.test.tsx (10 tests)</w:t>
              <w:br/>
              <w:t xml:space="preserve">  PASS src/__tests__/NotFoundPage.test.tsx (1 test)</w:t>
              <w:br/>
              <w:t xml:space="preserve">  PASS src/__tests__/AccountsPaused.test.tsx (6 tests)</w:t>
              <w:br/>
              <w:t xml:space="preserve">  PASS src/__tests__/RegisterPage.test.tsx (1 test)</w:t>
              <w:br/>
              <w:t xml:space="preserve">  PASS src/__tests__/VerifyPage.test.tsx (6 tests)</w:t>
              <w:br/>
              <w:br/>
              <w:t xml:space="preserve">  Test Files:  10 passed, 10 total</w:t>
              <w:br/>
              <w:t xml:space="preserve">  Tests:       54 passed, 54 total</w:t>
              <w:br/>
              <w:t xml:space="preserve">  Duration:    5.62 s</w:t>
              <w:br/>
              <w:t>================================================================================</w:t>
              <w:br/>
              <w:t>AGGREGATE TEST TOTALS:</w:t>
              <w:br/>
              <w:t xml:space="preserve">  Total Test Files / Suites: 26 passed, 26 total (100% pass rate)</w:t>
              <w:br/>
              <w:t xml:space="preserve">  Total Executed Tests:      222 passed, 222 total (100% pass rate)</w:t>
              <w:br/>
              <w:t>================================================================================</w:t>
            </w:r>
          </w:p>
        </w:tc>
      </w:tr>
    </w:tbl>
    <w:p>
      <w:pPr>
        <w:spacing w:after="80"/>
      </w:pPr>
    </w:p>
    <w:p>
      <w:pPr>
        <w:keepNext/>
        <w:spacing w:before="200" w:after="60" w:line="300" w:lineRule="auto"/>
        <w:jc w:val="left"/>
      </w:pPr>
      <w:r>
        <w:rPr>
          <w:rFonts w:ascii="Calibri" w:hAnsi="Calibri"/>
          <w:b/>
          <w:i w:val="0"/>
          <w:color w:val="2C5282"/>
          <w:sz w:val="25"/>
        </w:rPr>
        <w:t>16.3 Build &amp; Type Verification</w:t>
      </w:r>
    </w:p>
    <w:p>
      <w:pPr>
        <w:spacing w:before="40" w:after="120" w:line="300" w:lineRule="auto"/>
        <w:jc w:val="both"/>
      </w:pPr>
      <w:r>
        <w:rPr>
          <w:rFonts w:ascii="Calibri" w:hAnsi="Calibri"/>
          <w:b w:val="0"/>
          <w:i w:val="0"/>
          <w:color w:val="2D3748"/>
          <w:sz w:val="22"/>
        </w:rPr>
        <w:t xml:space="preserve">Production build verification was executed using </w:t>
      </w:r>
      <w:r>
        <w:rPr>
          <w:rFonts w:ascii="Consolas" w:hAnsi="Consolas"/>
          <w:b w:val="0"/>
          <w:i w:val="0"/>
          <w:color w:val="2C5282"/>
          <w:sz w:val="20"/>
        </w:rPr>
        <w:t>npm run build</w:t>
      </w:r>
      <w:r>
        <w:rPr>
          <w:rFonts w:ascii="Calibri" w:hAnsi="Calibri"/>
          <w:b w:val="0"/>
          <w:i w:val="0"/>
          <w:color w:val="2D3748"/>
          <w:sz w:val="22"/>
        </w:rPr>
        <w:t>:</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Server:</w:t>
      </w:r>
      <w:r>
        <w:rPr>
          <w:rFonts w:ascii="Calibri" w:hAnsi="Calibri"/>
          <w:b w:val="0"/>
          <w:i w:val="0"/>
          <w:color w:val="2D3748"/>
          <w:sz w:val="21"/>
        </w:rPr>
        <w:t xml:space="preserve"> TypeScript compilation (</w:t>
      </w:r>
      <w:r>
        <w:rPr>
          <w:rFonts w:ascii="Consolas" w:hAnsi="Consolas"/>
          <w:b w:val="0"/>
          <w:i w:val="0"/>
          <w:color w:val="2C5282"/>
          <w:sz w:val="19"/>
        </w:rPr>
        <w:t>tsc</w:t>
      </w:r>
      <w:r>
        <w:rPr>
          <w:rFonts w:ascii="Calibri" w:hAnsi="Calibri"/>
          <w:b w:val="0"/>
          <w:i w:val="0"/>
          <w:color w:val="2D3748"/>
          <w:sz w:val="21"/>
        </w:rPr>
        <w:t xml:space="preserve">) succeeded with zero type errors. </w:t>
      </w:r>
      <w:r>
        <w:rPr>
          <w:rFonts w:ascii="Consolas" w:hAnsi="Consolas"/>
          <w:b w:val="0"/>
          <w:i w:val="0"/>
          <w:color w:val="2C5282"/>
          <w:sz w:val="19"/>
        </w:rPr>
        <w:t>copy-schema.mjs</w:t>
      </w:r>
      <w:r>
        <w:rPr>
          <w:rFonts w:ascii="Calibri" w:hAnsi="Calibri"/>
          <w:b w:val="0"/>
          <w:i w:val="0"/>
          <w:color w:val="2D3748"/>
          <w:sz w:val="21"/>
        </w:rPr>
        <w:t xml:space="preserve"> successfully copied </w:t>
      </w:r>
      <w:r>
        <w:rPr>
          <w:rFonts w:ascii="Consolas" w:hAnsi="Consolas"/>
          <w:b w:val="0"/>
          <w:i w:val="0"/>
          <w:color w:val="2C5282"/>
          <w:sz w:val="19"/>
        </w:rPr>
        <w:t>schema.sql</w:t>
      </w:r>
      <w:r>
        <w:rPr>
          <w:rFonts w:ascii="Calibri" w:hAnsi="Calibri"/>
          <w:b w:val="0"/>
          <w:i w:val="0"/>
          <w:color w:val="2D3748"/>
          <w:sz w:val="21"/>
        </w:rPr>
        <w:t xml:space="preserve"> (3,761 bytes) to the distribution folder.</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Client:</w:t>
      </w:r>
      <w:r>
        <w:rPr>
          <w:rFonts w:ascii="Calibri" w:hAnsi="Calibri"/>
          <w:b w:val="0"/>
          <w:i w:val="0"/>
          <w:color w:val="2D3748"/>
          <w:sz w:val="21"/>
        </w:rPr>
        <w:t xml:space="preserve"> TypeScript compilation (</w:t>
      </w:r>
      <w:r>
        <w:rPr>
          <w:rFonts w:ascii="Consolas" w:hAnsi="Consolas"/>
          <w:b w:val="0"/>
          <w:i w:val="0"/>
          <w:color w:val="2C5282"/>
          <w:sz w:val="19"/>
        </w:rPr>
        <w:t>tsc -b</w:t>
      </w:r>
      <w:r>
        <w:rPr>
          <w:rFonts w:ascii="Calibri" w:hAnsi="Calibri"/>
          <w:b w:val="0"/>
          <w:i w:val="0"/>
          <w:color w:val="2D3748"/>
          <w:sz w:val="21"/>
        </w:rPr>
        <w:t>) and Vite production bundling (</w:t>
      </w:r>
      <w:r>
        <w:rPr>
          <w:rFonts w:ascii="Consolas" w:hAnsi="Consolas"/>
          <w:b w:val="0"/>
          <w:i w:val="0"/>
          <w:color w:val="2C5282"/>
          <w:sz w:val="19"/>
        </w:rPr>
        <w:t>vite build</w:t>
      </w:r>
      <w:r>
        <w:rPr>
          <w:rFonts w:ascii="Calibri" w:hAnsi="Calibri"/>
          <w:b w:val="0"/>
          <w:i w:val="0"/>
          <w:color w:val="2D3748"/>
          <w:sz w:val="21"/>
        </w:rPr>
        <w:t>) succeeded in 1.74 seconds, generating 39 optimized assets with zero errors.</w:t>
      </w:r>
    </w:p>
    <w:p>
      <w:pPr>
        <w:keepNext/>
        <w:spacing w:before="200" w:after="60" w:line="300" w:lineRule="auto"/>
        <w:jc w:val="left"/>
      </w:pPr>
      <w:r>
        <w:rPr>
          <w:rFonts w:ascii="Calibri" w:hAnsi="Calibri"/>
          <w:b/>
          <w:i w:val="0"/>
          <w:color w:val="2C5282"/>
          <w:sz w:val="25"/>
        </w:rPr>
        <w:t>16.4 Static Analysis and Linting Verification</w:t>
      </w:r>
    </w:p>
    <w:p>
      <w:pPr>
        <w:spacing w:before="40" w:after="120" w:line="300" w:lineRule="auto"/>
        <w:jc w:val="both"/>
      </w:pPr>
      <w:r>
        <w:rPr>
          <w:rFonts w:ascii="Calibri" w:hAnsi="Calibri"/>
          <w:b w:val="0"/>
          <w:i w:val="0"/>
          <w:color w:val="2D3748"/>
          <w:sz w:val="22"/>
        </w:rPr>
        <w:t xml:space="preserve">Static code analysis was executed via </w:t>
      </w:r>
      <w:r>
        <w:rPr>
          <w:rFonts w:ascii="Consolas" w:hAnsi="Consolas"/>
          <w:b w:val="0"/>
          <w:i w:val="0"/>
          <w:color w:val="2C5282"/>
          <w:sz w:val="20"/>
        </w:rPr>
        <w:t>npm run lint</w:t>
      </w:r>
      <w:r>
        <w:rPr>
          <w:rFonts w:ascii="Calibri" w:hAnsi="Calibri"/>
          <w:b w:val="0"/>
          <w:i w:val="0"/>
          <w:color w:val="2D3748"/>
          <w:sz w:val="22"/>
        </w:rPr>
        <w:t>:</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Client (Oxlint v1.81.0):</w:t>
      </w:r>
      <w:r>
        <w:rPr>
          <w:rFonts w:ascii="Calibri" w:hAnsi="Calibri"/>
          <w:b w:val="0"/>
          <w:i w:val="0"/>
          <w:color w:val="2D3748"/>
          <w:sz w:val="21"/>
        </w:rPr>
        <w:t xml:space="preserve"> Inspected 57 files across 116 rules. Output: </w:t>
      </w:r>
      <w:r>
        <w:rPr>
          <w:rFonts w:ascii="Calibri" w:hAnsi="Calibri"/>
          <w:b/>
          <w:i w:val="0"/>
          <w:color w:val="2D3748"/>
          <w:sz w:val="21"/>
        </w:rPr>
        <w:t>0 errors</w:t>
      </w:r>
      <w:r>
        <w:rPr>
          <w:rFonts w:ascii="Calibri" w:hAnsi="Calibri"/>
          <w:b w:val="0"/>
          <w:i w:val="0"/>
          <w:color w:val="2D3748"/>
          <w:sz w:val="21"/>
        </w:rPr>
        <w:t xml:space="preserve">, 21 warnings (pertaining to React Fast Refresh lazy component exports in </w:t>
      </w:r>
      <w:r>
        <w:rPr>
          <w:rFonts w:ascii="Consolas" w:hAnsi="Consolas"/>
          <w:b w:val="0"/>
          <w:i w:val="0"/>
          <w:color w:val="2C5282"/>
          <w:sz w:val="19"/>
        </w:rPr>
        <w:t>main.tsx</w:t>
      </w:r>
      <w:r>
        <w:rPr>
          <w:rFonts w:ascii="Calibri" w:hAnsi="Calibri"/>
          <w:b w:val="0"/>
          <w:i w:val="0"/>
          <w:color w:val="2D3748"/>
          <w:sz w:val="21"/>
        </w:rPr>
        <w:t>).</w:t>
      </w:r>
    </w:p>
    <w:p>
      <w:pPr>
        <w:spacing w:before="20" w:after="60" w:line="276" w:lineRule="auto"/>
        <w:ind w:left="360"/>
        <w:jc w:val="left"/>
      </w:pPr>
      <w:r>
        <w:rPr>
          <w:rFonts w:ascii="Calibri" w:hAnsi="Calibri"/>
          <w:b/>
          <w:i w:val="0"/>
          <w:color w:val="2B6CB0"/>
          <w:sz w:val="18"/>
        </w:rPr>
        <w:t xml:space="preserve">▪  </w:t>
      </w:r>
      <w:r>
        <w:rPr>
          <w:rFonts w:ascii="Calibri" w:hAnsi="Calibri"/>
          <w:b/>
          <w:i w:val="0"/>
          <w:color w:val="2D3748"/>
          <w:sz w:val="21"/>
        </w:rPr>
        <w:t>Server (ESLint v8.57.0):</w:t>
      </w:r>
      <w:r>
        <w:rPr>
          <w:rFonts w:ascii="Calibri" w:hAnsi="Calibri"/>
          <w:b w:val="0"/>
          <w:i w:val="0"/>
          <w:color w:val="2D3748"/>
          <w:sz w:val="21"/>
        </w:rPr>
        <w:t xml:space="preserve"> Inspected server TypeScript files. Output: 2 unused variable warnings (</w:t>
      </w:r>
      <w:r>
        <w:rPr>
          <w:rFonts w:ascii="Consolas" w:hAnsi="Consolas"/>
          <w:b w:val="0"/>
          <w:i w:val="0"/>
          <w:color w:val="2C5282"/>
          <w:sz w:val="19"/>
        </w:rPr>
        <w:t>setScanScore</w:t>
      </w:r>
      <w:r>
        <w:rPr>
          <w:rFonts w:ascii="Calibri" w:hAnsi="Calibri"/>
          <w:b w:val="0"/>
          <w:i w:val="0"/>
          <w:color w:val="2D3748"/>
          <w:sz w:val="21"/>
        </w:rPr>
        <w:t xml:space="preserve"> in </w:t>
      </w:r>
      <w:r>
        <w:rPr>
          <w:rFonts w:ascii="Consolas" w:hAnsi="Consolas"/>
          <w:b w:val="0"/>
          <w:i w:val="0"/>
          <w:color w:val="2C5282"/>
          <w:sz w:val="19"/>
        </w:rPr>
        <w:t>scan.ts</w:t>
      </w:r>
      <w:r>
        <w:rPr>
          <w:rFonts w:ascii="Calibri" w:hAnsi="Calibri"/>
          <w:b w:val="0"/>
          <w:i w:val="0"/>
          <w:color w:val="2D3748"/>
          <w:sz w:val="21"/>
        </w:rPr>
        <w:t xml:space="preserve"> and </w:t>
      </w:r>
      <w:r>
        <w:rPr>
          <w:rFonts w:ascii="Consolas" w:hAnsi="Consolas"/>
          <w:b w:val="0"/>
          <w:i w:val="0"/>
          <w:color w:val="2C5282"/>
          <w:sz w:val="19"/>
        </w:rPr>
        <w:t>safeTo</w:t>
      </w:r>
      <w:r>
        <w:rPr>
          <w:rFonts w:ascii="Calibri" w:hAnsi="Calibri"/>
          <w:b w:val="0"/>
          <w:i w:val="0"/>
          <w:color w:val="2D3748"/>
          <w:sz w:val="21"/>
        </w:rPr>
        <w:t xml:space="preserve"> in </w:t>
      </w:r>
      <w:r>
        <w:rPr>
          <w:rFonts w:ascii="Consolas" w:hAnsi="Consolas"/>
          <w:b w:val="0"/>
          <w:i w:val="0"/>
          <w:color w:val="2C5282"/>
          <w:sz w:val="19"/>
        </w:rPr>
        <w:t>email.ts</w:t>
      </w:r>
      <w:r>
        <w:rPr>
          <w:rFonts w:ascii="Calibri" w:hAnsi="Calibri"/>
          <w:b w:val="0"/>
          <w:i w:val="0"/>
          <w:color w:val="2D3748"/>
          <w:sz w:val="21"/>
        </w:rPr>
        <w:t xml:space="preserve">), and 1 syntax escape error in </w:t>
      </w:r>
      <w:r>
        <w:rPr>
          <w:rFonts w:ascii="Consolas" w:hAnsi="Consolas"/>
          <w:b w:val="0"/>
          <w:i w:val="0"/>
          <w:color w:val="2C5282"/>
          <w:sz w:val="19"/>
        </w:rPr>
        <w:t>server/src/services/findings.ts</w:t>
      </w:r>
      <w:r>
        <w:rPr>
          <w:rFonts w:ascii="Calibri" w:hAnsi="Calibri"/>
          <w:b w:val="0"/>
          <w:i w:val="0"/>
          <w:color w:val="2D3748"/>
          <w:sz w:val="21"/>
        </w:rPr>
        <w:t xml:space="preserve"> line 916:25 (</w:t>
      </w:r>
      <w:r>
        <w:rPr>
          <w:rFonts w:ascii="Consolas" w:hAnsi="Consolas"/>
          <w:b w:val="0"/>
          <w:i w:val="0"/>
          <w:color w:val="2C5282"/>
          <w:sz w:val="19"/>
        </w:rPr>
        <w:t>no-useless-escape</w:t>
      </w:r>
      <w:r>
        <w:rPr>
          <w:rFonts w:ascii="Calibri" w:hAnsi="Calibri"/>
          <w:b w:val="0"/>
          <w:i w:val="0"/>
          <w:color w:val="2D3748"/>
          <w:sz w:val="21"/>
        </w:rPr>
        <w:t xml:space="preserve"> on an escaped forward slash in a regular expression). As required by testing protocol, this is documented factually without altering source files.</w:t>
      </w:r>
    </w:p>
    <w:p>
      <w:pPr>
        <w:spacing w:before="120" w:after="120" w:line="300" w:lineRule="auto"/>
        <w:jc w:val="center"/>
      </w:pPr>
      <w:r>
        <w:rPr>
          <w:color w:val="E2E8F0"/>
          <w:sz w:val="20"/>
        </w:rPr>
        <w:t>―――――――――――――――――――――――――――――――――――――――――――――――――――――――</w:t>
      </w:r>
    </w:p>
    <w:p>
      <w:pPr>
        <w:keepNext/>
        <w:spacing w:before="280" w:after="80" w:line="300" w:lineRule="auto"/>
        <w:jc w:val="left"/>
      </w:pPr>
      <w:r>
        <w:rPr>
          <w:rFonts w:ascii="Calibri" w:hAnsi="Calibri"/>
          <w:b/>
          <w:i w:val="0"/>
          <w:color w:val="2B6CB0"/>
          <w:sz w:val="30"/>
        </w:rPr>
        <w:t>17. RESULTS AND DISCUSSION</w:t>
      </w:r>
    </w:p>
    <w:p>
      <w:pPr>
        <w:keepNext/>
        <w:spacing w:before="200" w:after="60" w:line="300" w:lineRule="auto"/>
        <w:jc w:val="left"/>
      </w:pPr>
      <w:r>
        <w:rPr>
          <w:rFonts w:ascii="Calibri" w:hAnsi="Calibri"/>
          <w:b/>
          <w:i w:val="0"/>
          <w:color w:val="2C5282"/>
          <w:sz w:val="25"/>
        </w:rPr>
        <w:t>17.1 Practical Utility of the Implemented Workstation</w:t>
      </w:r>
    </w:p>
    <w:p>
      <w:pPr>
        <w:spacing w:before="40" w:after="120" w:line="300" w:lineRule="auto"/>
        <w:jc w:val="both"/>
      </w:pPr>
      <w:r>
        <w:rPr>
          <w:rFonts w:ascii="Calibri" w:hAnsi="Calibri"/>
          <w:b w:val="0"/>
          <w:i w:val="0"/>
          <w:color w:val="2D3748"/>
          <w:sz w:val="22"/>
        </w:rPr>
        <w:t xml:space="preserve">The successful development and verification of DASS demonstrates that high-fidelity attack surface reconnaissance can be achieved without aggressive, intrusive scanning. In practical testing against standard public domains (e.g., </w:t>
      </w:r>
      <w:r>
        <w:rPr>
          <w:rFonts w:ascii="Consolas" w:hAnsi="Consolas"/>
          <w:b w:val="0"/>
          <w:i w:val="0"/>
          <w:color w:val="2C5282"/>
          <w:sz w:val="20"/>
        </w:rPr>
        <w:t>example.com</w:t>
      </w:r>
      <w:r>
        <w:rPr>
          <w:rFonts w:ascii="Calibri" w:hAnsi="Calibri"/>
          <w:b w:val="0"/>
          <w:i w:val="0"/>
          <w:color w:val="2D3748"/>
          <w:sz w:val="22"/>
        </w:rPr>
        <w:t>), DASS completed the entire reconnaissance pipeline within 4 to 8 seconds, successfully extracting:</w:t>
      </w:r>
    </w:p>
    <w:p>
      <w:pPr>
        <w:spacing w:before="20" w:after="60" w:line="276" w:lineRule="auto"/>
        <w:ind w:left="360"/>
        <w:jc w:val="left"/>
      </w:pPr>
      <w:r>
        <w:rPr>
          <w:rFonts w:ascii="Calibri" w:hAnsi="Calibri"/>
          <w:b/>
          <w:i w:val="0"/>
          <w:color w:val="2B6CB0"/>
          <w:sz w:val="18"/>
        </w:rPr>
        <w:t xml:space="preserve">▪  </w:t>
      </w:r>
      <w:r>
        <w:rPr>
          <w:rFonts w:ascii="Calibri" w:hAnsi="Calibri"/>
          <w:b w:val="0"/>
          <w:i w:val="0"/>
          <w:color w:val="2D3748"/>
          <w:sz w:val="21"/>
        </w:rPr>
        <w:t>Authoritative DNS routing and delegation topology.</w:t>
      </w:r>
    </w:p>
    <w:p>
      <w:pPr>
        <w:spacing w:before="20" w:after="60" w:line="276" w:lineRule="auto"/>
        <w:ind w:left="360"/>
        <w:jc w:val="left"/>
      </w:pPr>
      <w:r>
        <w:rPr>
          <w:rFonts w:ascii="Calibri" w:hAnsi="Calibri"/>
          <w:b/>
          <w:i w:val="0"/>
          <w:color w:val="2B6CB0"/>
          <w:sz w:val="18"/>
        </w:rPr>
        <w:t xml:space="preserve">▪  </w:t>
      </w:r>
      <w:r>
        <w:rPr>
          <w:rFonts w:ascii="Calibri" w:hAnsi="Calibri"/>
          <w:b w:val="0"/>
          <w:i w:val="0"/>
          <w:color w:val="2D3748"/>
          <w:sz w:val="21"/>
        </w:rPr>
        <w:t>TLS certificate chains and cryptographic parameters.</w:t>
      </w:r>
    </w:p>
    <w:p>
      <w:pPr>
        <w:spacing w:before="20" w:after="60" w:line="276" w:lineRule="auto"/>
        <w:ind w:left="360"/>
        <w:jc w:val="left"/>
      </w:pPr>
      <w:r>
        <w:rPr>
          <w:rFonts w:ascii="Calibri" w:hAnsi="Calibri"/>
          <w:b/>
          <w:i w:val="0"/>
          <w:color w:val="2B6CB0"/>
          <w:sz w:val="18"/>
        </w:rPr>
        <w:t xml:space="preserve">▪  </w:t>
      </w:r>
      <w:r>
        <w:rPr>
          <w:rFonts w:ascii="Calibri" w:hAnsi="Calibri"/>
          <w:b w:val="0"/>
          <w:i w:val="0"/>
          <w:color w:val="2D3748"/>
          <w:sz w:val="21"/>
        </w:rPr>
        <w:t>HTTP security header compliance.</w:t>
      </w:r>
    </w:p>
    <w:p>
      <w:pPr>
        <w:spacing w:before="20" w:after="60" w:line="276" w:lineRule="auto"/>
        <w:ind w:left="360"/>
        <w:jc w:val="left"/>
      </w:pPr>
      <w:r>
        <w:rPr>
          <w:rFonts w:ascii="Calibri" w:hAnsi="Calibri"/>
          <w:b/>
          <w:i w:val="0"/>
          <w:color w:val="2B6CB0"/>
          <w:sz w:val="18"/>
        </w:rPr>
        <w:t xml:space="preserve">▪  </w:t>
      </w:r>
      <w:r>
        <w:rPr>
          <w:rFonts w:ascii="Calibri" w:hAnsi="Calibri"/>
          <w:b w:val="0"/>
          <w:i w:val="0"/>
          <w:color w:val="2D3748"/>
          <w:sz w:val="21"/>
        </w:rPr>
        <w:t>Email authentication records (SPF, DKIM, DMARC).</w:t>
      </w:r>
    </w:p>
    <w:p>
      <w:pPr>
        <w:spacing w:before="20" w:after="60" w:line="276" w:lineRule="auto"/>
        <w:ind w:left="360"/>
        <w:jc w:val="left"/>
      </w:pPr>
      <w:r>
        <w:rPr>
          <w:rFonts w:ascii="Calibri" w:hAnsi="Calibri"/>
          <w:b/>
          <w:i w:val="0"/>
          <w:color w:val="2B6CB0"/>
          <w:sz w:val="18"/>
        </w:rPr>
        <w:t xml:space="preserve">▪  </w:t>
      </w:r>
      <w:r>
        <w:rPr>
          <w:rFonts w:ascii="Calibri" w:hAnsi="Calibri"/>
          <w:b w:val="0"/>
          <w:i w:val="0"/>
          <w:color w:val="2D3748"/>
          <w:sz w:val="21"/>
        </w:rPr>
        <w:t>Geolocation and Autonomous System mapping.</w:t>
      </w:r>
    </w:p>
    <w:p>
      <w:pPr>
        <w:spacing w:before="20" w:after="60" w:line="276" w:lineRule="auto"/>
        <w:ind w:left="360"/>
        <w:jc w:val="left"/>
      </w:pPr>
      <w:r>
        <w:rPr>
          <w:rFonts w:ascii="Calibri" w:hAnsi="Calibri"/>
          <w:b/>
          <w:i w:val="0"/>
          <w:color w:val="2B6CB0"/>
          <w:sz w:val="18"/>
        </w:rPr>
        <w:t xml:space="preserve">▪  </w:t>
      </w:r>
      <w:r>
        <w:rPr>
          <w:rFonts w:ascii="Calibri" w:hAnsi="Calibri"/>
          <w:b w:val="0"/>
          <w:i w:val="0"/>
          <w:color w:val="2D3748"/>
          <w:sz w:val="21"/>
        </w:rPr>
        <w:t>Passive exposure records from Shodan InternetDB.</w:t>
      </w:r>
    </w:p>
    <w:p>
      <w:pPr>
        <w:keepNext/>
        <w:spacing w:before="200" w:after="60" w:line="300" w:lineRule="auto"/>
        <w:jc w:val="left"/>
      </w:pPr>
      <w:r>
        <w:rPr>
          <w:rFonts w:ascii="Calibri" w:hAnsi="Calibri"/>
          <w:b/>
          <w:i w:val="0"/>
          <w:color w:val="2C5282"/>
          <w:sz w:val="25"/>
        </w:rPr>
        <w:t>17.2 The Significance of Epistemic Safety</w:t>
      </w:r>
    </w:p>
    <w:p>
      <w:pPr>
        <w:spacing w:before="40" w:after="120" w:line="300" w:lineRule="auto"/>
        <w:jc w:val="both"/>
      </w:pPr>
      <w:r>
        <w:rPr>
          <w:rFonts w:ascii="Calibri" w:hAnsi="Calibri"/>
          <w:b w:val="0"/>
          <w:i w:val="0"/>
          <w:color w:val="2D3748"/>
          <w:sz w:val="22"/>
        </w:rPr>
        <w:t>A critical contribution of this project is the proof that security scoring can remain strictly evidence-grounded. In conventional automated tools, network dropouts or API rate limits are frequently misinterpreted as missing security controls, penalizing target organizations. DASS's implementation demonstrates that by decoupling probe status (</w:t>
      </w:r>
      <w:r>
        <w:rPr>
          <w:rFonts w:ascii="Consolas" w:hAnsi="Consolas"/>
          <w:b w:val="0"/>
          <w:i w:val="0"/>
          <w:color w:val="2C5282"/>
          <w:sz w:val="20"/>
        </w:rPr>
        <w:t>completed</w:t>
      </w:r>
      <w:r>
        <w:rPr>
          <w:rFonts w:ascii="Calibri" w:hAnsi="Calibri"/>
          <w:b w:val="0"/>
          <w:i w:val="0"/>
          <w:color w:val="2D3748"/>
          <w:sz w:val="22"/>
        </w:rPr>
        <w:t xml:space="preserve"> vs. </w:t>
      </w:r>
      <w:r>
        <w:rPr>
          <w:rFonts w:ascii="Consolas" w:hAnsi="Consolas"/>
          <w:b w:val="0"/>
          <w:i w:val="0"/>
          <w:color w:val="2C5282"/>
          <w:sz w:val="20"/>
        </w:rPr>
        <w:t>failed</w:t>
      </w:r>
      <w:r>
        <w:rPr>
          <w:rFonts w:ascii="Calibri" w:hAnsi="Calibri"/>
          <w:b w:val="0"/>
          <w:i w:val="0"/>
          <w:color w:val="2D3748"/>
          <w:sz w:val="22"/>
        </w:rPr>
        <w:t>) from score deduction logic, an assessment platform can guarantee that:</w:t>
      </w:r>
    </w:p>
    <w:p>
      <w:pPr>
        <w:spacing w:before="40" w:after="120" w:line="300" w:lineRule="auto"/>
        <w:jc w:val="both"/>
      </w:pPr>
      <w:r>
        <w:rPr>
          <w:rFonts w:ascii="Calibri" w:hAnsi="Calibri"/>
          <w:b w:val="0"/>
          <w:i w:val="0"/>
          <w:color w:val="2D3748"/>
          <w:sz w:val="22"/>
        </w:rPr>
        <w:t>$$</w:t>
        <w:tab/>
        <w:t>ext{Absence of an observation}</w:t>
      </w:r>
    </w:p>
    <w:p>
      <w:pPr>
        <w:spacing w:before="40" w:after="120" w:line="300" w:lineRule="auto"/>
        <w:jc w:val="both"/>
      </w:pPr>
      <w:r>
        <w:rPr>
          <w:rFonts w:ascii="Calibri" w:hAnsi="Calibri"/>
          <w:b w:val="0"/>
          <w:i w:val="0"/>
          <w:color w:val="2D3748"/>
          <w:sz w:val="22"/>
        </w:rPr>
        <w:t xml:space="preserve">eq </w:t>
        <w:tab/>
        <w:t>ext{Evidence of a vulnerability}$$</w:t>
      </w:r>
    </w:p>
    <w:p>
      <w:pPr>
        <w:spacing w:before="40" w:after="120" w:line="300" w:lineRule="auto"/>
        <w:jc w:val="both"/>
      </w:pPr>
      <w:r>
        <w:rPr>
          <w:rFonts w:ascii="Calibri" w:hAnsi="Calibri"/>
          <w:b w:val="0"/>
          <w:i w:val="0"/>
          <w:color w:val="2D3748"/>
          <w:sz w:val="22"/>
        </w:rPr>
        <w:t>Incomplete intelligence reduces scan completeness (e.g., reporting "5/6 Probes Completed"), while preserving the integrity of the hygiene score.</w:t>
      </w:r>
    </w:p>
    <w:p>
      <w:pPr>
        <w:keepNext/>
        <w:spacing w:before="200" w:after="60" w:line="300" w:lineRule="auto"/>
        <w:jc w:val="left"/>
      </w:pPr>
      <w:r>
        <w:rPr>
          <w:rFonts w:ascii="Calibri" w:hAnsi="Calibri"/>
          <w:b/>
          <w:i w:val="0"/>
          <w:color w:val="2C5282"/>
          <w:sz w:val="25"/>
        </w:rPr>
        <w:t>17.3 Transparency Over Arbitrary Ratings</w:t>
      </w:r>
    </w:p>
    <w:p>
      <w:pPr>
        <w:spacing w:before="40" w:after="120" w:line="300" w:lineRule="auto"/>
        <w:jc w:val="both"/>
      </w:pPr>
      <w:r>
        <w:rPr>
          <w:rFonts w:ascii="Calibri" w:hAnsi="Calibri"/>
          <w:b w:val="0"/>
          <w:i w:val="0"/>
          <w:color w:val="2D3748"/>
          <w:sz w:val="22"/>
        </w:rPr>
        <w:t xml:space="preserve">By surfacing the exact mathematical formula, dimension caps, and individual deduction observations in the </w:t>
      </w:r>
      <w:r>
        <w:rPr>
          <w:rFonts w:ascii="Calibri" w:hAnsi="Calibri"/>
          <w:b/>
          <w:i w:val="0"/>
          <w:color w:val="2D3748"/>
          <w:sz w:val="22"/>
        </w:rPr>
        <w:t>Hygiene Score Audit</w:t>
      </w:r>
      <w:r>
        <w:rPr>
          <w:rFonts w:ascii="Calibri" w:hAnsi="Calibri"/>
          <w:b w:val="0"/>
          <w:i w:val="0"/>
          <w:color w:val="2D3748"/>
          <w:sz w:val="22"/>
        </w:rPr>
        <w:t xml:space="preserve"> drawer, DASS eliminates the friction associated with proprietary commercial ratings. Security teams can immediately trace why a score is 80 (e.g., −10 for missing HSTS, −5 for missing CSP, −5 for missing DMARC) and take targeted remediation action.</w:t>
      </w:r>
    </w:p>
    <w:p>
      <w:pPr>
        <w:spacing w:before="120" w:after="120" w:line="300" w:lineRule="auto"/>
        <w:jc w:val="center"/>
      </w:pPr>
      <w:r>
        <w:rPr>
          <w:color w:val="E2E8F0"/>
          <w:sz w:val="20"/>
        </w:rPr>
        <w:t>―――――――――――――――――――――――――――――――――――――――――――――――――――――――</w:t>
      </w:r>
    </w:p>
    <w:p>
      <w:pPr>
        <w:keepNext/>
        <w:spacing w:before="280" w:after="80" w:line="300" w:lineRule="auto"/>
        <w:jc w:val="left"/>
      </w:pPr>
      <w:r>
        <w:rPr>
          <w:rFonts w:ascii="Calibri" w:hAnsi="Calibri"/>
          <w:b/>
          <w:i w:val="0"/>
          <w:color w:val="2B6CB0"/>
          <w:sz w:val="30"/>
        </w:rPr>
        <w:t>18. LIMITATIONS</w:t>
      </w:r>
    </w:p>
    <w:p>
      <w:pPr>
        <w:spacing w:before="40" w:after="120" w:line="300" w:lineRule="auto"/>
        <w:jc w:val="both"/>
      </w:pPr>
      <w:r>
        <w:rPr>
          <w:rFonts w:ascii="Calibri" w:hAnsi="Calibri"/>
          <w:b w:val="0"/>
          <w:i w:val="0"/>
          <w:color w:val="2D3748"/>
          <w:sz w:val="22"/>
        </w:rPr>
        <w:t>To maintain academic and professional integrity, the real-world limitations of the current implementation must be acknowledged:</w:t>
      </w:r>
    </w:p>
    <w:p>
      <w:pPr>
        <w:spacing w:before="20" w:after="60" w:line="276" w:lineRule="auto"/>
        <w:ind w:left="360"/>
        <w:jc w:val="left"/>
      </w:pPr>
      <w:r>
        <w:rPr>
          <w:rFonts w:ascii="Calibri" w:hAnsi="Calibri"/>
          <w:b/>
          <w:i w:val="0"/>
          <w:color w:val="2B6CB0"/>
          <w:sz w:val="21"/>
        </w:rPr>
        <w:t xml:space="preserve">1.  </w:t>
      </w:r>
      <w:r>
        <w:rPr>
          <w:rFonts w:ascii="Calibri" w:hAnsi="Calibri"/>
          <w:b/>
          <w:i w:val="0"/>
          <w:color w:val="2D3748"/>
          <w:sz w:val="21"/>
        </w:rPr>
        <w:t>Dependence on External Public APIs:</w:t>
      </w:r>
      <w:r>
        <w:rPr>
          <w:rFonts w:ascii="Calibri" w:hAnsi="Calibri"/>
          <w:b w:val="0"/>
          <w:i w:val="0"/>
          <w:color w:val="2D3748"/>
          <w:sz w:val="21"/>
        </w:rPr>
        <w:t xml:space="preserve"> Subdomain discovery via Certificate Transparency relies on </w:t>
      </w:r>
      <w:r>
        <w:rPr>
          <w:rFonts w:ascii="Consolas" w:hAnsi="Consolas"/>
          <w:b w:val="0"/>
          <w:i w:val="0"/>
          <w:color w:val="2C5282"/>
          <w:sz w:val="19"/>
        </w:rPr>
        <w:t>crt.sh</w:t>
      </w:r>
      <w:r>
        <w:rPr>
          <w:rFonts w:ascii="Calibri" w:hAnsi="Calibri"/>
          <w:b w:val="0"/>
          <w:i w:val="0"/>
          <w:color w:val="2D3748"/>
          <w:sz w:val="21"/>
        </w:rPr>
        <w:t>, which can experience intermittent rate limiting or server downtime. Similarly, passive exposure intelligence depends on the availability of Shodan InternetDB.</w:t>
      </w:r>
    </w:p>
    <w:p>
      <w:pPr>
        <w:spacing w:before="20" w:after="60" w:line="276" w:lineRule="auto"/>
        <w:ind w:left="360"/>
        <w:jc w:val="left"/>
      </w:pPr>
      <w:r>
        <w:rPr>
          <w:rFonts w:ascii="Calibri" w:hAnsi="Calibri"/>
          <w:b/>
          <w:i w:val="0"/>
          <w:color w:val="2B6CB0"/>
          <w:sz w:val="21"/>
        </w:rPr>
        <w:t xml:space="preserve">2.  </w:t>
      </w:r>
      <w:r>
        <w:rPr>
          <w:rFonts w:ascii="Calibri" w:hAnsi="Calibri"/>
          <w:b/>
          <w:i w:val="0"/>
          <w:color w:val="2D3748"/>
          <w:sz w:val="21"/>
        </w:rPr>
        <w:t>Passive Visibility Ceiling:</w:t>
      </w:r>
      <w:r>
        <w:rPr>
          <w:rFonts w:ascii="Calibri" w:hAnsi="Calibri"/>
          <w:b w:val="0"/>
          <w:i w:val="0"/>
          <w:color w:val="2D3748"/>
          <w:sz w:val="21"/>
        </w:rPr>
        <w:t xml:space="preserve"> DASS cannot inspect internal intranet assets, services hosted behind non-standard obscure ports not indexed by passive databases, or web applications protected by aggressive bot-mitigation challenges (e.g., Cloudflare Under Attack mode).</w:t>
      </w:r>
    </w:p>
    <w:p>
      <w:pPr>
        <w:spacing w:before="20" w:after="60" w:line="276" w:lineRule="auto"/>
        <w:ind w:left="360"/>
        <w:jc w:val="left"/>
      </w:pPr>
      <w:r>
        <w:rPr>
          <w:rFonts w:ascii="Calibri" w:hAnsi="Calibri"/>
          <w:b/>
          <w:i w:val="0"/>
          <w:color w:val="2B6CB0"/>
          <w:sz w:val="21"/>
        </w:rPr>
        <w:t xml:space="preserve">3.  </w:t>
      </w:r>
      <w:r>
        <w:rPr>
          <w:rFonts w:ascii="Calibri" w:hAnsi="Calibri"/>
          <w:b/>
          <w:i w:val="0"/>
          <w:color w:val="2D3748"/>
          <w:sz w:val="21"/>
        </w:rPr>
        <w:t>Absence of Proof vs. Proof of Absence:</w:t>
      </w:r>
      <w:r>
        <w:rPr>
          <w:rFonts w:ascii="Calibri" w:hAnsi="Calibri"/>
          <w:b w:val="0"/>
          <w:i w:val="0"/>
          <w:color w:val="2D3748"/>
          <w:sz w:val="21"/>
        </w:rPr>
        <w:t xml:space="preserve"> DASS can definitively verify when a security header or DNS record is missing. However, the absence of an observed vulnerability in Shodan records does not prove that the underlying server is secure against zero-day exploits.</w:t>
      </w:r>
    </w:p>
    <w:p>
      <w:pPr>
        <w:spacing w:before="20" w:after="60" w:line="276" w:lineRule="auto"/>
        <w:ind w:left="360"/>
        <w:jc w:val="left"/>
      </w:pPr>
      <w:r>
        <w:rPr>
          <w:rFonts w:ascii="Calibri" w:hAnsi="Calibri"/>
          <w:b/>
          <w:i w:val="0"/>
          <w:color w:val="2B6CB0"/>
          <w:sz w:val="21"/>
        </w:rPr>
        <w:t xml:space="preserve">4.  </w:t>
      </w:r>
      <w:r>
        <w:rPr>
          <w:rFonts w:ascii="Calibri" w:hAnsi="Calibri"/>
          <w:b/>
          <w:i w:val="0"/>
          <w:color w:val="2D3748"/>
          <w:sz w:val="21"/>
        </w:rPr>
        <w:t>Network Timeouts on Strict Firewalls:</w:t>
      </w:r>
      <w:r>
        <w:rPr>
          <w:rFonts w:ascii="Calibri" w:hAnsi="Calibri"/>
          <w:b w:val="0"/>
          <w:i w:val="0"/>
          <w:color w:val="2D3748"/>
          <w:sz w:val="21"/>
        </w:rPr>
        <w:t xml:space="preserve"> If a target domain drops inbound connections on port 443 rather than rejecting them, the TLS probe must wait for its 8-second timeout before marking the category inconclusive.</w:t>
      </w:r>
    </w:p>
    <w:p>
      <w:pPr>
        <w:spacing w:before="20" w:after="60" w:line="276" w:lineRule="auto"/>
        <w:ind w:left="360"/>
        <w:jc w:val="left"/>
      </w:pPr>
      <w:r>
        <w:rPr>
          <w:rFonts w:ascii="Calibri" w:hAnsi="Calibri"/>
          <w:b/>
          <w:i w:val="0"/>
          <w:color w:val="2B6CB0"/>
          <w:sz w:val="21"/>
        </w:rPr>
        <w:t xml:space="preserve">5.  </w:t>
      </w:r>
      <w:r>
        <w:rPr>
          <w:rFonts w:ascii="Calibri" w:hAnsi="Calibri"/>
          <w:b/>
          <w:i w:val="0"/>
          <w:color w:val="2D3748"/>
          <w:sz w:val="21"/>
        </w:rPr>
        <w:t>DNS Propagation Delays:</w:t>
      </w:r>
      <w:r>
        <w:rPr>
          <w:rFonts w:ascii="Calibri" w:hAnsi="Calibri"/>
          <w:b w:val="0"/>
          <w:i w:val="0"/>
          <w:color w:val="2D3748"/>
          <w:sz w:val="21"/>
        </w:rPr>
        <w:t xml:space="preserve"> Recent DNS modifications (e.g., a newly added DMARC record) may not reflect immediately if intermediate public recursive resolvers hold cached negative responses.</w:t>
      </w:r>
    </w:p>
    <w:p>
      <w:pPr>
        <w:spacing w:before="120" w:after="120" w:line="300" w:lineRule="auto"/>
        <w:jc w:val="center"/>
      </w:pPr>
      <w:r>
        <w:rPr>
          <w:color w:val="E2E8F0"/>
          <w:sz w:val="20"/>
        </w:rPr>
        <w:t>―――――――――――――――――――――――――――――――――――――――――――――――――――――――</w:t>
      </w:r>
    </w:p>
    <w:p>
      <w:pPr>
        <w:keepNext/>
        <w:spacing w:before="280" w:after="80" w:line="300" w:lineRule="auto"/>
        <w:jc w:val="left"/>
      </w:pPr>
      <w:r>
        <w:rPr>
          <w:rFonts w:ascii="Calibri" w:hAnsi="Calibri"/>
          <w:b/>
          <w:i w:val="0"/>
          <w:color w:val="2B6CB0"/>
          <w:sz w:val="30"/>
        </w:rPr>
        <w:t>19. FUTURE SCOPE</w:t>
      </w:r>
    </w:p>
    <w:p>
      <w:pPr>
        <w:spacing w:before="40" w:after="120" w:line="300" w:lineRule="auto"/>
        <w:jc w:val="both"/>
      </w:pPr>
      <w:r>
        <w:rPr>
          <w:rFonts w:ascii="Calibri" w:hAnsi="Calibri"/>
          <w:b w:val="0"/>
          <w:i w:val="0"/>
          <w:color w:val="2D3748"/>
          <w:sz w:val="22"/>
        </w:rPr>
        <w:t>While the current implementation delivers a complete, fully functional reconnaissance workstation, several avenues exist for future expansion:</w:t>
      </w:r>
    </w:p>
    <w:p>
      <w:pPr>
        <w:spacing w:before="20" w:after="60" w:line="276" w:lineRule="auto"/>
        <w:ind w:left="360"/>
        <w:jc w:val="left"/>
      </w:pPr>
      <w:r>
        <w:rPr>
          <w:rFonts w:ascii="Calibri" w:hAnsi="Calibri"/>
          <w:b/>
          <w:i w:val="0"/>
          <w:color w:val="2B6CB0"/>
          <w:sz w:val="21"/>
        </w:rPr>
        <w:t xml:space="preserve">1.  </w:t>
      </w:r>
      <w:r>
        <w:rPr>
          <w:rFonts w:ascii="Calibri" w:hAnsi="Calibri"/>
          <w:b/>
          <w:i w:val="0"/>
          <w:color w:val="2D3748"/>
          <w:sz w:val="21"/>
        </w:rPr>
        <w:t>Continuous Scheduled Monitoring &amp; Webhook Alerts:</w:t>
      </w:r>
      <w:r>
        <w:rPr>
          <w:rFonts w:ascii="Calibri" w:hAnsi="Calibri"/>
          <w:b w:val="0"/>
          <w:i w:val="0"/>
          <w:color w:val="2D3748"/>
          <w:sz w:val="21"/>
        </w:rPr>
        <w:t xml:space="preserve"> Implementing background cron workers to rescan configured domains daily or weekly, transmitting alerts via email, Slack, or webhooks when DNS drift or certificate expiration is detected.</w:t>
      </w:r>
    </w:p>
    <w:p>
      <w:pPr>
        <w:spacing w:before="20" w:after="60" w:line="276" w:lineRule="auto"/>
        <w:ind w:left="360"/>
        <w:jc w:val="left"/>
      </w:pPr>
      <w:r>
        <w:rPr>
          <w:rFonts w:ascii="Calibri" w:hAnsi="Calibri"/>
          <w:b/>
          <w:i w:val="0"/>
          <w:color w:val="2B6CB0"/>
          <w:sz w:val="21"/>
        </w:rPr>
        <w:t xml:space="preserve">2.  </w:t>
      </w:r>
      <w:r>
        <w:rPr>
          <w:rFonts w:ascii="Calibri" w:hAnsi="Calibri"/>
          <w:b/>
          <w:i w:val="0"/>
          <w:color w:val="2D3748"/>
          <w:sz w:val="21"/>
        </w:rPr>
        <w:t>Enterprise Single Sign-On (SSO):</w:t>
      </w:r>
      <w:r>
        <w:rPr>
          <w:rFonts w:ascii="Calibri" w:hAnsi="Calibri"/>
          <w:b w:val="0"/>
          <w:i w:val="0"/>
          <w:color w:val="2D3748"/>
          <w:sz w:val="21"/>
        </w:rPr>
        <w:t xml:space="preserve"> Extending the authentication layer to support SAML 2.0 and OpenID Connect (OIDC) for enterprise security operations teams.</w:t>
      </w:r>
    </w:p>
    <w:p>
      <w:pPr>
        <w:spacing w:before="20" w:after="60" w:line="276" w:lineRule="auto"/>
        <w:ind w:left="360"/>
        <w:jc w:val="left"/>
      </w:pPr>
      <w:r>
        <w:rPr>
          <w:rFonts w:ascii="Calibri" w:hAnsi="Calibri"/>
          <w:b/>
          <w:i w:val="0"/>
          <w:color w:val="2B6CB0"/>
          <w:sz w:val="21"/>
        </w:rPr>
        <w:t xml:space="preserve">3.  </w:t>
      </w:r>
      <w:r>
        <w:rPr>
          <w:rFonts w:ascii="Calibri" w:hAnsi="Calibri"/>
          <w:b/>
          <w:i w:val="0"/>
          <w:color w:val="2D3748"/>
          <w:sz w:val="21"/>
        </w:rPr>
        <w:t>Custom Threat Feed Integrations:</w:t>
      </w:r>
      <w:r>
        <w:rPr>
          <w:rFonts w:ascii="Calibri" w:hAnsi="Calibri"/>
          <w:b w:val="0"/>
          <w:i w:val="0"/>
          <w:color w:val="2D3748"/>
          <w:sz w:val="21"/>
        </w:rPr>
        <w:t xml:space="preserve"> Adding configurable API connectors for additional passive intelligence providers such as Censys, SecurityTrails, VirusTotal, and AlienVault OTX.</w:t>
      </w:r>
    </w:p>
    <w:p>
      <w:pPr>
        <w:spacing w:before="20" w:after="60" w:line="276" w:lineRule="auto"/>
        <w:ind w:left="360"/>
        <w:jc w:val="left"/>
      </w:pPr>
      <w:r>
        <w:rPr>
          <w:rFonts w:ascii="Calibri" w:hAnsi="Calibri"/>
          <w:b/>
          <w:i w:val="0"/>
          <w:color w:val="2B6CB0"/>
          <w:sz w:val="21"/>
        </w:rPr>
        <w:t xml:space="preserve">4.  </w:t>
      </w:r>
      <w:r>
        <w:rPr>
          <w:rFonts w:ascii="Calibri" w:hAnsi="Calibri"/>
          <w:b/>
          <w:i w:val="0"/>
          <w:color w:val="2D3748"/>
          <w:sz w:val="21"/>
        </w:rPr>
        <w:t>Agentic Remediation Playbooks:</w:t>
      </w:r>
      <w:r>
        <w:rPr>
          <w:rFonts w:ascii="Calibri" w:hAnsi="Calibri"/>
          <w:b w:val="0"/>
          <w:i w:val="0"/>
          <w:color w:val="2D3748"/>
          <w:sz w:val="21"/>
        </w:rPr>
        <w:t xml:space="preserve"> Generating exportable Infrastructure-as-Code (Terraform, Ansible, Nginx configuration snippets) to automate the deployment of recommended HTTP security headers and DNS records.</w:t>
      </w:r>
    </w:p>
    <w:p>
      <w:pPr>
        <w:spacing w:before="20" w:after="60" w:line="276" w:lineRule="auto"/>
        <w:ind w:left="360"/>
        <w:jc w:val="left"/>
      </w:pPr>
      <w:r>
        <w:rPr>
          <w:rFonts w:ascii="Calibri" w:hAnsi="Calibri"/>
          <w:b/>
          <w:i w:val="0"/>
          <w:color w:val="2B6CB0"/>
          <w:sz w:val="21"/>
        </w:rPr>
        <w:t xml:space="preserve">5.  </w:t>
      </w:r>
      <w:r>
        <w:rPr>
          <w:rFonts w:ascii="Calibri" w:hAnsi="Calibri"/>
          <w:b/>
          <w:i w:val="0"/>
          <w:color w:val="2D3748"/>
          <w:sz w:val="21"/>
        </w:rPr>
        <w:t>Distributed Worker Nodes:</w:t>
      </w:r>
      <w:r>
        <w:rPr>
          <w:rFonts w:ascii="Calibri" w:hAnsi="Calibri"/>
          <w:b w:val="0"/>
          <w:i w:val="0"/>
          <w:color w:val="2D3748"/>
          <w:sz w:val="21"/>
        </w:rPr>
        <w:t xml:space="preserve"> Decoupling intelligence workers into independent microservices running on serverless runtimes or Kubernetes workers to support massive multi-domain enterprise scanning.</w:t>
      </w:r>
    </w:p>
    <w:p>
      <w:pPr>
        <w:spacing w:before="120" w:after="120" w:line="300" w:lineRule="auto"/>
        <w:jc w:val="center"/>
      </w:pPr>
      <w:r>
        <w:rPr>
          <w:color w:val="E2E8F0"/>
          <w:sz w:val="20"/>
        </w:rPr>
        <w:t>―――――――――――――――――――――――――――――――――――――――――――――――――――――――</w:t>
      </w:r>
    </w:p>
    <w:p>
      <w:pPr>
        <w:keepNext/>
        <w:spacing w:before="280" w:after="80" w:line="300" w:lineRule="auto"/>
        <w:jc w:val="left"/>
      </w:pPr>
      <w:r>
        <w:rPr>
          <w:rFonts w:ascii="Calibri" w:hAnsi="Calibri"/>
          <w:b/>
          <w:i w:val="0"/>
          <w:color w:val="2B6CB0"/>
          <w:sz w:val="30"/>
        </w:rPr>
        <w:t>20. CONCLUSION</w:t>
      </w:r>
    </w:p>
    <w:p>
      <w:pPr>
        <w:spacing w:before="40" w:after="120" w:line="300" w:lineRule="auto"/>
        <w:jc w:val="both"/>
      </w:pPr>
      <w:r>
        <w:rPr>
          <w:rFonts w:ascii="Calibri" w:hAnsi="Calibri"/>
          <w:b w:val="0"/>
          <w:i w:val="0"/>
          <w:color w:val="2D3748"/>
          <w:sz w:val="22"/>
        </w:rPr>
        <w:t xml:space="preserve">The </w:t>
      </w:r>
      <w:r>
        <w:rPr>
          <w:rFonts w:ascii="Calibri" w:hAnsi="Calibri"/>
          <w:b/>
          <w:i w:val="0"/>
          <w:color w:val="2D3748"/>
          <w:sz w:val="22"/>
        </w:rPr>
        <w:t>Domain Attack Surface Scanner (DASS)</w:t>
      </w:r>
      <w:r>
        <w:rPr>
          <w:rFonts w:ascii="Calibri" w:hAnsi="Calibri"/>
          <w:b w:val="0"/>
          <w:i w:val="0"/>
          <w:color w:val="2D3748"/>
          <w:sz w:val="22"/>
        </w:rPr>
        <w:t xml:space="preserve"> successfully demonstrates that automated external attack surface intelligence and configuration hygiene evaluation can be conducted safely, passively, and transparently. By uniting authoritative DNS resolution, Certificate Transparency mining, cryptographic TLS verification, HTTP security header auditing, BGP routing correlation, and Shodan exposure intelligence, DASS maps an organization's public internet presence without sending hostile or intrusive traffic.</w:t>
      </w:r>
    </w:p>
    <w:p>
      <w:pPr>
        <w:spacing w:before="40" w:after="120" w:line="300" w:lineRule="auto"/>
        <w:jc w:val="both"/>
      </w:pPr>
      <w:r>
        <w:rPr>
          <w:rFonts w:ascii="Calibri" w:hAnsi="Calibri"/>
          <w:b w:val="0"/>
          <w:i w:val="0"/>
          <w:color w:val="2D3748"/>
          <w:sz w:val="22"/>
        </w:rPr>
        <w:t>The platform's primary contributions include:</w:t>
      </w:r>
    </w:p>
    <w:p>
      <w:pPr>
        <w:spacing w:before="20" w:after="60" w:line="276" w:lineRule="auto"/>
        <w:ind w:left="360"/>
        <w:jc w:val="left"/>
      </w:pPr>
      <w:r>
        <w:rPr>
          <w:rFonts w:ascii="Calibri" w:hAnsi="Calibri"/>
          <w:b/>
          <w:i w:val="0"/>
          <w:color w:val="2B6CB0"/>
          <w:sz w:val="18"/>
        </w:rPr>
        <w:t xml:space="preserve">▪  </w:t>
      </w:r>
      <w:r>
        <w:rPr>
          <w:rFonts w:ascii="Calibri" w:hAnsi="Calibri"/>
          <w:b w:val="0"/>
          <w:i w:val="0"/>
          <w:color w:val="2D3748"/>
          <w:sz w:val="21"/>
        </w:rPr>
        <w:t xml:space="preserve">An </w:t>
      </w:r>
      <w:r>
        <w:rPr>
          <w:rFonts w:ascii="Calibri" w:hAnsi="Calibri"/>
          <w:b/>
          <w:i w:val="0"/>
          <w:color w:val="2D3748"/>
          <w:sz w:val="21"/>
        </w:rPr>
        <w:t>epistemically safe</w:t>
      </w:r>
      <w:r>
        <w:rPr>
          <w:rFonts w:ascii="Calibri" w:hAnsi="Calibri"/>
          <w:b w:val="0"/>
          <w:i w:val="0"/>
          <w:color w:val="2D3748"/>
          <w:sz w:val="21"/>
        </w:rPr>
        <w:t xml:space="preserve">, deterministic </w:t>
      </w:r>
      <w:r>
        <w:rPr>
          <w:rFonts w:ascii="Calibri" w:hAnsi="Calibri"/>
          <w:b/>
          <w:i w:val="0"/>
          <w:color w:val="2D3748"/>
          <w:sz w:val="21"/>
        </w:rPr>
        <w:t>External Hygiene Score (0–100)</w:t>
      </w:r>
      <w:r>
        <w:rPr>
          <w:rFonts w:ascii="Calibri" w:hAnsi="Calibri"/>
          <w:b w:val="0"/>
          <w:i w:val="0"/>
          <w:color w:val="2D3748"/>
          <w:sz w:val="21"/>
        </w:rPr>
        <w:t xml:space="preserve"> where incomplete evidence never penalizes the target.</w:t>
      </w:r>
    </w:p>
    <w:p>
      <w:pPr>
        <w:spacing w:before="20" w:after="60" w:line="276" w:lineRule="auto"/>
        <w:ind w:left="360"/>
        <w:jc w:val="left"/>
      </w:pPr>
      <w:r>
        <w:rPr>
          <w:rFonts w:ascii="Calibri" w:hAnsi="Calibri"/>
          <w:b/>
          <w:i w:val="0"/>
          <w:color w:val="2B6CB0"/>
          <w:sz w:val="18"/>
        </w:rPr>
        <w:t xml:space="preserve">▪  </w:t>
      </w:r>
      <w:r>
        <w:rPr>
          <w:rFonts w:ascii="Calibri" w:hAnsi="Calibri"/>
          <w:b w:val="0"/>
          <w:i w:val="0"/>
          <w:color w:val="2D3748"/>
          <w:sz w:val="21"/>
        </w:rPr>
        <w:t xml:space="preserve">A </w:t>
      </w:r>
      <w:r>
        <w:rPr>
          <w:rFonts w:ascii="Calibri" w:hAnsi="Calibri"/>
          <w:b/>
          <w:i w:val="0"/>
          <w:color w:val="2D3748"/>
          <w:sz w:val="21"/>
        </w:rPr>
        <w:t>normalized graph data model</w:t>
      </w:r>
      <w:r>
        <w:rPr>
          <w:rFonts w:ascii="Calibri" w:hAnsi="Calibri"/>
          <w:b w:val="0"/>
          <w:i w:val="0"/>
          <w:color w:val="2D3748"/>
          <w:sz w:val="21"/>
        </w:rPr>
        <w:t xml:space="preserve"> linking typed assets through directed relationships.</w:t>
      </w:r>
    </w:p>
    <w:p>
      <w:pPr>
        <w:spacing w:before="20" w:after="60" w:line="276" w:lineRule="auto"/>
        <w:ind w:left="360"/>
        <w:jc w:val="left"/>
      </w:pPr>
      <w:r>
        <w:rPr>
          <w:rFonts w:ascii="Calibri" w:hAnsi="Calibri"/>
          <w:b/>
          <w:i w:val="0"/>
          <w:color w:val="2B6CB0"/>
          <w:sz w:val="18"/>
        </w:rPr>
        <w:t xml:space="preserve">▪  </w:t>
      </w:r>
      <w:r>
        <w:rPr>
          <w:rFonts w:ascii="Calibri" w:hAnsi="Calibri"/>
          <w:b w:val="0"/>
          <w:i w:val="0"/>
          <w:color w:val="2D3748"/>
          <w:sz w:val="21"/>
        </w:rPr>
        <w:t xml:space="preserve">A </w:t>
      </w:r>
      <w:r>
        <w:rPr>
          <w:rFonts w:ascii="Calibri" w:hAnsi="Calibri"/>
          <w:b/>
          <w:i w:val="0"/>
          <w:color w:val="2D3748"/>
          <w:sz w:val="21"/>
        </w:rPr>
        <w:t>21-rule deterministic findings engine</w:t>
      </w:r>
      <w:r>
        <w:rPr>
          <w:rFonts w:ascii="Calibri" w:hAnsi="Calibri"/>
          <w:b w:val="0"/>
          <w:i w:val="0"/>
          <w:color w:val="2D3748"/>
          <w:sz w:val="21"/>
        </w:rPr>
        <w:t xml:space="preserve"> delivering structured 10-section analytical remediation dossiers.</w:t>
      </w:r>
    </w:p>
    <w:p>
      <w:pPr>
        <w:spacing w:before="20" w:after="60" w:line="276" w:lineRule="auto"/>
        <w:ind w:left="360"/>
        <w:jc w:val="left"/>
      </w:pPr>
      <w:r>
        <w:rPr>
          <w:rFonts w:ascii="Calibri" w:hAnsi="Calibri"/>
          <w:b/>
          <w:i w:val="0"/>
          <w:color w:val="2B6CB0"/>
          <w:sz w:val="18"/>
        </w:rPr>
        <w:t xml:space="preserve">▪  </w:t>
      </w:r>
      <w:r>
        <w:rPr>
          <w:rFonts w:ascii="Calibri" w:hAnsi="Calibri"/>
          <w:b w:val="0"/>
          <w:i w:val="0"/>
          <w:color w:val="2D3748"/>
          <w:sz w:val="21"/>
        </w:rPr>
        <w:t xml:space="preserve">An </w:t>
      </w:r>
      <w:r>
        <w:rPr>
          <w:rFonts w:ascii="Calibri" w:hAnsi="Calibri"/>
          <w:b/>
          <w:i w:val="0"/>
          <w:color w:val="2D3748"/>
          <w:sz w:val="21"/>
        </w:rPr>
        <w:t>editorial workstation interface</w:t>
      </w:r>
      <w:r>
        <w:rPr>
          <w:rFonts w:ascii="Calibri" w:hAnsi="Calibri"/>
          <w:b w:val="0"/>
          <w:i w:val="0"/>
          <w:color w:val="2D3748"/>
          <w:sz w:val="21"/>
        </w:rPr>
        <w:t xml:space="preserve"> combining dark/light themes, interactive SVG graphs, and Leaflet geographical maps.</w:t>
      </w:r>
    </w:p>
    <w:p>
      <w:pPr>
        <w:spacing w:before="20" w:after="60" w:line="276" w:lineRule="auto"/>
        <w:ind w:left="360"/>
        <w:jc w:val="left"/>
      </w:pPr>
      <w:r>
        <w:rPr>
          <w:rFonts w:ascii="Calibri" w:hAnsi="Calibri"/>
          <w:b/>
          <w:i w:val="0"/>
          <w:color w:val="2B6CB0"/>
          <w:sz w:val="18"/>
        </w:rPr>
        <w:t xml:space="preserve">▪  </w:t>
      </w:r>
      <w:r>
        <w:rPr>
          <w:rFonts w:ascii="Calibri" w:hAnsi="Calibri"/>
          <w:b w:val="0"/>
          <w:i w:val="0"/>
          <w:color w:val="2D3748"/>
          <w:sz w:val="21"/>
        </w:rPr>
        <w:t xml:space="preserve">Strict </w:t>
      </w:r>
      <w:r>
        <w:rPr>
          <w:rFonts w:ascii="Calibri" w:hAnsi="Calibri"/>
          <w:b/>
          <w:i w:val="0"/>
          <w:color w:val="2D3748"/>
          <w:sz w:val="21"/>
        </w:rPr>
        <w:t>defensive safeguards</w:t>
      </w:r>
      <w:r>
        <w:rPr>
          <w:rFonts w:ascii="Calibri" w:hAnsi="Calibri"/>
          <w:b w:val="0"/>
          <w:i w:val="0"/>
          <w:color w:val="2D3748"/>
          <w:sz w:val="21"/>
        </w:rPr>
        <w:t xml:space="preserve"> including comprehensive SSRF CIDR blocking, sliding-window quotas, and ePrivacy-compliant zero-cookie anonymous scanning.</w:t>
      </w:r>
    </w:p>
    <w:p>
      <w:pPr>
        <w:spacing w:before="40" w:after="120" w:line="300" w:lineRule="auto"/>
        <w:jc w:val="both"/>
      </w:pPr>
      <w:r>
        <w:rPr>
          <w:rFonts w:ascii="Calibri" w:hAnsi="Calibri"/>
          <w:b w:val="0"/>
          <w:i w:val="0"/>
          <w:color w:val="2D3748"/>
          <w:sz w:val="22"/>
        </w:rPr>
        <w:t>With 222 automated tests verifying its operational reliability, DASS serves as a robust, academic, and practical workstation for students, researchers, and cybersecurity defenders striving to secure the modern digital perimeter.</w:t>
      </w:r>
    </w:p>
    <w:p>
      <w:pPr>
        <w:spacing w:before="120" w:after="120" w:line="300" w:lineRule="auto"/>
        <w:jc w:val="center"/>
      </w:pPr>
      <w:r>
        <w:rPr>
          <w:color w:val="E2E8F0"/>
          <w:sz w:val="20"/>
        </w:rPr>
        <w:t>―――――――――――――――――――――――――――――――――――――――――――――――――――――――</w:t>
      </w:r>
    </w:p>
    <w:p>
      <w:pPr>
        <w:keepNext/>
        <w:spacing w:before="280" w:after="80" w:line="300" w:lineRule="auto"/>
        <w:jc w:val="left"/>
      </w:pPr>
      <w:r>
        <w:rPr>
          <w:rFonts w:ascii="Calibri" w:hAnsi="Calibri"/>
          <w:b/>
          <w:i w:val="0"/>
          <w:color w:val="2B6CB0"/>
          <w:sz w:val="30"/>
        </w:rPr>
        <w:t>21. REFERENCES</w:t>
      </w:r>
    </w:p>
    <w:p>
      <w:pPr>
        <w:keepNext/>
        <w:spacing w:before="200" w:after="60" w:line="300" w:lineRule="auto"/>
        <w:jc w:val="left"/>
      </w:pPr>
      <w:r>
        <w:rPr>
          <w:rFonts w:ascii="Calibri" w:hAnsi="Calibri"/>
          <w:b/>
          <w:i w:val="0"/>
          <w:color w:val="2C5282"/>
          <w:sz w:val="25"/>
        </w:rPr>
        <w:t>Standards, RFCs, and Specifications</w:t>
      </w:r>
    </w:p>
    <w:p>
      <w:pPr>
        <w:spacing w:before="20" w:after="60" w:line="276" w:lineRule="auto"/>
        <w:ind w:left="360"/>
        <w:jc w:val="left"/>
      </w:pPr>
      <w:r>
        <w:rPr>
          <w:rFonts w:ascii="Calibri" w:hAnsi="Calibri"/>
          <w:b/>
          <w:i w:val="0"/>
          <w:color w:val="2B6CB0"/>
          <w:sz w:val="21"/>
        </w:rPr>
        <w:t xml:space="preserve">1.  </w:t>
      </w:r>
      <w:r>
        <w:rPr>
          <w:rFonts w:ascii="Calibri" w:hAnsi="Calibri"/>
          <w:b/>
          <w:i w:val="0"/>
          <w:color w:val="2D3748"/>
          <w:sz w:val="21"/>
        </w:rPr>
        <w:t>RFC 1034 / 1035:</w:t>
      </w:r>
      <w:r>
        <w:rPr>
          <w:rFonts w:ascii="Calibri" w:hAnsi="Calibri"/>
          <w:b w:val="0"/>
          <w:i w:val="0"/>
          <w:color w:val="2D3748"/>
          <w:sz w:val="21"/>
        </w:rPr>
        <w:t xml:space="preserve"> Mockapetris, P. (1987). </w:t>
      </w:r>
      <w:r>
        <w:rPr>
          <w:rFonts w:ascii="Calibri" w:hAnsi="Calibri"/>
          <w:b w:val="0"/>
          <w:i/>
          <w:color w:val="2D3748"/>
          <w:sz w:val="21"/>
        </w:rPr>
        <w:t>Domain Names - Concepts and Facilities / Implementation and Specification</w:t>
      </w:r>
      <w:r>
        <w:rPr>
          <w:rFonts w:ascii="Calibri" w:hAnsi="Calibri"/>
          <w:b w:val="0"/>
          <w:i w:val="0"/>
          <w:color w:val="2D3748"/>
          <w:sz w:val="21"/>
        </w:rPr>
        <w:t>. Internet Engineering Task Force. https://datatracker.ietf.org/doc/html/rfc1035</w:t>
      </w:r>
    </w:p>
    <w:p>
      <w:pPr>
        <w:spacing w:before="20" w:after="60" w:line="276" w:lineRule="auto"/>
        <w:ind w:left="360"/>
        <w:jc w:val="left"/>
      </w:pPr>
      <w:r>
        <w:rPr>
          <w:rFonts w:ascii="Calibri" w:hAnsi="Calibri"/>
          <w:b/>
          <w:i w:val="0"/>
          <w:color w:val="2B6CB0"/>
          <w:sz w:val="21"/>
        </w:rPr>
        <w:t xml:space="preserve">2.  </w:t>
      </w:r>
      <w:r>
        <w:rPr>
          <w:rFonts w:ascii="Calibri" w:hAnsi="Calibri"/>
          <w:b/>
          <w:i w:val="0"/>
          <w:color w:val="2D3748"/>
          <w:sz w:val="21"/>
        </w:rPr>
        <w:t>RFC 4033 / 4034 / 4035:</w:t>
      </w:r>
      <w:r>
        <w:rPr>
          <w:rFonts w:ascii="Calibri" w:hAnsi="Calibri"/>
          <w:b w:val="0"/>
          <w:i w:val="0"/>
          <w:color w:val="2D3748"/>
          <w:sz w:val="21"/>
        </w:rPr>
        <w:t xml:space="preserve"> Arends, R., et al. (2005). </w:t>
      </w:r>
      <w:r>
        <w:rPr>
          <w:rFonts w:ascii="Calibri" w:hAnsi="Calibri"/>
          <w:b w:val="0"/>
          <w:i/>
          <w:color w:val="2D3748"/>
          <w:sz w:val="21"/>
        </w:rPr>
        <w:t>DNS Security Introduction and Requirements (DNSSEC)</w:t>
      </w:r>
      <w:r>
        <w:rPr>
          <w:rFonts w:ascii="Calibri" w:hAnsi="Calibri"/>
          <w:b w:val="0"/>
          <w:i w:val="0"/>
          <w:color w:val="2D3748"/>
          <w:sz w:val="21"/>
        </w:rPr>
        <w:t>. Internet Engineering Task Force. https://datatracker.ietf.org/doc/html/rfc4033</w:t>
      </w:r>
    </w:p>
    <w:p>
      <w:pPr>
        <w:spacing w:before="20" w:after="60" w:line="276" w:lineRule="auto"/>
        <w:ind w:left="360"/>
        <w:jc w:val="left"/>
      </w:pPr>
      <w:r>
        <w:rPr>
          <w:rFonts w:ascii="Calibri" w:hAnsi="Calibri"/>
          <w:b/>
          <w:i w:val="0"/>
          <w:color w:val="2B6CB0"/>
          <w:sz w:val="21"/>
        </w:rPr>
        <w:t xml:space="preserve">3.  </w:t>
      </w:r>
      <w:r>
        <w:rPr>
          <w:rFonts w:ascii="Calibri" w:hAnsi="Calibri"/>
          <w:b/>
          <w:i w:val="0"/>
          <w:color w:val="2D3748"/>
          <w:sz w:val="21"/>
        </w:rPr>
        <w:t>RFC 6797:</w:t>
      </w:r>
      <w:r>
        <w:rPr>
          <w:rFonts w:ascii="Calibri" w:hAnsi="Calibri"/>
          <w:b w:val="0"/>
          <w:i w:val="0"/>
          <w:color w:val="2D3748"/>
          <w:sz w:val="21"/>
        </w:rPr>
        <w:t xml:space="preserve"> Hodges, J., et al. (2012). </w:t>
      </w:r>
      <w:r>
        <w:rPr>
          <w:rFonts w:ascii="Calibri" w:hAnsi="Calibri"/>
          <w:b w:val="0"/>
          <w:i/>
          <w:color w:val="2D3748"/>
          <w:sz w:val="21"/>
        </w:rPr>
        <w:t>HTTP Strict Transport Security (HSTS)</w:t>
      </w:r>
      <w:r>
        <w:rPr>
          <w:rFonts w:ascii="Calibri" w:hAnsi="Calibri"/>
          <w:b w:val="0"/>
          <w:i w:val="0"/>
          <w:color w:val="2D3748"/>
          <w:sz w:val="21"/>
        </w:rPr>
        <w:t>. Internet Engineering Task Force. https://datatracker.ietf.org/doc/html/rfc6797</w:t>
      </w:r>
    </w:p>
    <w:p>
      <w:pPr>
        <w:spacing w:before="20" w:after="60" w:line="276" w:lineRule="auto"/>
        <w:ind w:left="360"/>
        <w:jc w:val="left"/>
      </w:pPr>
      <w:r>
        <w:rPr>
          <w:rFonts w:ascii="Calibri" w:hAnsi="Calibri"/>
          <w:b/>
          <w:i w:val="0"/>
          <w:color w:val="2B6CB0"/>
          <w:sz w:val="21"/>
        </w:rPr>
        <w:t xml:space="preserve">4.  </w:t>
      </w:r>
      <w:r>
        <w:rPr>
          <w:rFonts w:ascii="Calibri" w:hAnsi="Calibri"/>
          <w:b/>
          <w:i w:val="0"/>
          <w:color w:val="2D3748"/>
          <w:sz w:val="21"/>
        </w:rPr>
        <w:t>RFC 6962:</w:t>
      </w:r>
      <w:r>
        <w:rPr>
          <w:rFonts w:ascii="Calibri" w:hAnsi="Calibri"/>
          <w:b w:val="0"/>
          <w:i w:val="0"/>
          <w:color w:val="2D3748"/>
          <w:sz w:val="21"/>
        </w:rPr>
        <w:t xml:space="preserve"> Laurie, B., et al. (2013). </w:t>
      </w:r>
      <w:r>
        <w:rPr>
          <w:rFonts w:ascii="Calibri" w:hAnsi="Calibri"/>
          <w:b w:val="0"/>
          <w:i/>
          <w:color w:val="2D3748"/>
          <w:sz w:val="21"/>
        </w:rPr>
        <w:t>Certificate Transparency</w:t>
      </w:r>
      <w:r>
        <w:rPr>
          <w:rFonts w:ascii="Calibri" w:hAnsi="Calibri"/>
          <w:b w:val="0"/>
          <w:i w:val="0"/>
          <w:color w:val="2D3748"/>
          <w:sz w:val="21"/>
        </w:rPr>
        <w:t>. Internet Engineering Task Force. https://datatracker.ietf.org/doc/html/rfc6962</w:t>
      </w:r>
    </w:p>
    <w:p>
      <w:pPr>
        <w:spacing w:before="20" w:after="60" w:line="276" w:lineRule="auto"/>
        <w:ind w:left="360"/>
        <w:jc w:val="left"/>
      </w:pPr>
      <w:r>
        <w:rPr>
          <w:rFonts w:ascii="Calibri" w:hAnsi="Calibri"/>
          <w:b/>
          <w:i w:val="0"/>
          <w:color w:val="2B6CB0"/>
          <w:sz w:val="21"/>
        </w:rPr>
        <w:t xml:space="preserve">5.  </w:t>
      </w:r>
      <w:r>
        <w:rPr>
          <w:rFonts w:ascii="Calibri" w:hAnsi="Calibri"/>
          <w:b/>
          <w:i w:val="0"/>
          <w:color w:val="2D3748"/>
          <w:sz w:val="21"/>
        </w:rPr>
        <w:t>RFC 7208:</w:t>
      </w:r>
      <w:r>
        <w:rPr>
          <w:rFonts w:ascii="Calibri" w:hAnsi="Calibri"/>
          <w:b w:val="0"/>
          <w:i w:val="0"/>
          <w:color w:val="2D3748"/>
          <w:sz w:val="21"/>
        </w:rPr>
        <w:t xml:space="preserve"> Kitterman, S. (2014). </w:t>
      </w:r>
      <w:r>
        <w:rPr>
          <w:rFonts w:ascii="Calibri" w:hAnsi="Calibri"/>
          <w:b w:val="0"/>
          <w:i/>
          <w:color w:val="2D3748"/>
          <w:sz w:val="21"/>
        </w:rPr>
        <w:t>Sender Policy Framework (SPF) for Authorizing Use of Domains in Email</w:t>
      </w:r>
      <w:r>
        <w:rPr>
          <w:rFonts w:ascii="Calibri" w:hAnsi="Calibri"/>
          <w:b w:val="0"/>
          <w:i w:val="0"/>
          <w:color w:val="2D3748"/>
          <w:sz w:val="21"/>
        </w:rPr>
        <w:t>. Internet Engineering Task Force. https://datatracker.ietf.org/doc/html/rfc7208</w:t>
      </w:r>
    </w:p>
    <w:p>
      <w:pPr>
        <w:spacing w:before="20" w:after="60" w:line="276" w:lineRule="auto"/>
        <w:ind w:left="360"/>
        <w:jc w:val="left"/>
      </w:pPr>
      <w:r>
        <w:rPr>
          <w:rFonts w:ascii="Calibri" w:hAnsi="Calibri"/>
          <w:b/>
          <w:i w:val="0"/>
          <w:color w:val="2B6CB0"/>
          <w:sz w:val="21"/>
        </w:rPr>
        <w:t xml:space="preserve">6.  </w:t>
      </w:r>
      <w:r>
        <w:rPr>
          <w:rFonts w:ascii="Calibri" w:hAnsi="Calibri"/>
          <w:b/>
          <w:i w:val="0"/>
          <w:color w:val="2D3748"/>
          <w:sz w:val="21"/>
        </w:rPr>
        <w:t>RFC 7489:</w:t>
      </w:r>
      <w:r>
        <w:rPr>
          <w:rFonts w:ascii="Calibri" w:hAnsi="Calibri"/>
          <w:b w:val="0"/>
          <w:i w:val="0"/>
          <w:color w:val="2D3748"/>
          <w:sz w:val="21"/>
        </w:rPr>
        <w:t xml:space="preserve"> Kucherawy, M., &amp; Zwicky, E. (2015). </w:t>
      </w:r>
      <w:r>
        <w:rPr>
          <w:rFonts w:ascii="Calibri" w:hAnsi="Calibri"/>
          <w:b w:val="0"/>
          <w:i/>
          <w:color w:val="2D3748"/>
          <w:sz w:val="21"/>
        </w:rPr>
        <w:t>Domain-based Message Authentication, Reporting, and Conformance (DMARC)</w:t>
      </w:r>
      <w:r>
        <w:rPr>
          <w:rFonts w:ascii="Calibri" w:hAnsi="Calibri"/>
          <w:b w:val="0"/>
          <w:i w:val="0"/>
          <w:color w:val="2D3748"/>
          <w:sz w:val="21"/>
        </w:rPr>
        <w:t>. Internet Engineering Task Force. https://datatracker.ietf.org/doc/html/rfc7489</w:t>
      </w:r>
    </w:p>
    <w:p>
      <w:pPr>
        <w:spacing w:before="20" w:after="60" w:line="276" w:lineRule="auto"/>
        <w:ind w:left="360"/>
        <w:jc w:val="left"/>
      </w:pPr>
      <w:r>
        <w:rPr>
          <w:rFonts w:ascii="Calibri" w:hAnsi="Calibri"/>
          <w:b/>
          <w:i w:val="0"/>
          <w:color w:val="2B6CB0"/>
          <w:sz w:val="21"/>
        </w:rPr>
        <w:t xml:space="preserve">7.  </w:t>
      </w:r>
      <w:r>
        <w:rPr>
          <w:rFonts w:ascii="Calibri" w:hAnsi="Calibri"/>
          <w:b/>
          <w:i w:val="0"/>
          <w:color w:val="2D3748"/>
          <w:sz w:val="21"/>
        </w:rPr>
        <w:t>RFC 7914:</w:t>
      </w:r>
      <w:r>
        <w:rPr>
          <w:rFonts w:ascii="Calibri" w:hAnsi="Calibri"/>
          <w:b w:val="0"/>
          <w:i w:val="0"/>
          <w:color w:val="2D3748"/>
          <w:sz w:val="21"/>
        </w:rPr>
        <w:t xml:space="preserve"> Percival, C., &amp; Josefsson, S. (2016). </w:t>
      </w:r>
      <w:r>
        <w:rPr>
          <w:rFonts w:ascii="Calibri" w:hAnsi="Calibri"/>
          <w:b w:val="0"/>
          <w:i/>
          <w:color w:val="2D3748"/>
          <w:sz w:val="21"/>
        </w:rPr>
        <w:t>The scrypt Password-Based Key Derivation Function</w:t>
      </w:r>
      <w:r>
        <w:rPr>
          <w:rFonts w:ascii="Calibri" w:hAnsi="Calibri"/>
          <w:b w:val="0"/>
          <w:i w:val="0"/>
          <w:color w:val="2D3748"/>
          <w:sz w:val="21"/>
        </w:rPr>
        <w:t>. Internet Engineering Task Force. https://datatracker.ietf.org/doc/html/rfc7914</w:t>
      </w:r>
    </w:p>
    <w:p>
      <w:pPr>
        <w:spacing w:before="20" w:after="60" w:line="276" w:lineRule="auto"/>
        <w:ind w:left="360"/>
        <w:jc w:val="left"/>
      </w:pPr>
      <w:r>
        <w:rPr>
          <w:rFonts w:ascii="Calibri" w:hAnsi="Calibri"/>
          <w:b/>
          <w:i w:val="0"/>
          <w:color w:val="2B6CB0"/>
          <w:sz w:val="21"/>
        </w:rPr>
        <w:t xml:space="preserve">8.  </w:t>
      </w:r>
      <w:r>
        <w:rPr>
          <w:rFonts w:ascii="Calibri" w:hAnsi="Calibri"/>
          <w:b/>
          <w:i w:val="0"/>
          <w:color w:val="2D3748"/>
          <w:sz w:val="21"/>
        </w:rPr>
        <w:t>RFC 8446:</w:t>
      </w:r>
      <w:r>
        <w:rPr>
          <w:rFonts w:ascii="Calibri" w:hAnsi="Calibri"/>
          <w:b w:val="0"/>
          <w:i w:val="0"/>
          <w:color w:val="2D3748"/>
          <w:sz w:val="21"/>
        </w:rPr>
        <w:t xml:space="preserve"> Rescorla, E. (2018). </w:t>
      </w:r>
      <w:r>
        <w:rPr>
          <w:rFonts w:ascii="Calibri" w:hAnsi="Calibri"/>
          <w:b w:val="0"/>
          <w:i/>
          <w:color w:val="2D3748"/>
          <w:sz w:val="21"/>
        </w:rPr>
        <w:t>The Transport Layer Security (TLS) Protocol Version 1.3</w:t>
      </w:r>
      <w:r>
        <w:rPr>
          <w:rFonts w:ascii="Calibri" w:hAnsi="Calibri"/>
          <w:b w:val="0"/>
          <w:i w:val="0"/>
          <w:color w:val="2D3748"/>
          <w:sz w:val="21"/>
        </w:rPr>
        <w:t>. Internet Engineering Task Force. https://datatracker.ietf.org/doc/html/rfc8446</w:t>
      </w:r>
    </w:p>
    <w:p>
      <w:pPr>
        <w:spacing w:before="20" w:after="60" w:line="276" w:lineRule="auto"/>
        <w:ind w:left="360"/>
        <w:jc w:val="left"/>
      </w:pPr>
      <w:r>
        <w:rPr>
          <w:rFonts w:ascii="Calibri" w:hAnsi="Calibri"/>
          <w:b/>
          <w:i w:val="0"/>
          <w:color w:val="2B6CB0"/>
          <w:sz w:val="21"/>
        </w:rPr>
        <w:t xml:space="preserve">9.  </w:t>
      </w:r>
      <w:r>
        <w:rPr>
          <w:rFonts w:ascii="Calibri" w:hAnsi="Calibri"/>
          <w:b/>
          <w:i w:val="0"/>
          <w:color w:val="2D3748"/>
          <w:sz w:val="21"/>
        </w:rPr>
        <w:t>W3C Content Security Policy Level 3:</w:t>
      </w:r>
      <w:r>
        <w:rPr>
          <w:rFonts w:ascii="Calibri" w:hAnsi="Calibri"/>
          <w:b w:val="0"/>
          <w:i w:val="0"/>
          <w:color w:val="2D3748"/>
          <w:sz w:val="21"/>
        </w:rPr>
        <w:t xml:space="preserve"> West, M. (2023). </w:t>
      </w:r>
      <w:r>
        <w:rPr>
          <w:rFonts w:ascii="Calibri" w:hAnsi="Calibri"/>
          <w:b w:val="0"/>
          <w:i/>
          <w:color w:val="2D3748"/>
          <w:sz w:val="21"/>
        </w:rPr>
        <w:t>Content Security Policy Level 3</w:t>
      </w:r>
      <w:r>
        <w:rPr>
          <w:rFonts w:ascii="Calibri" w:hAnsi="Calibri"/>
          <w:b w:val="0"/>
          <w:i w:val="0"/>
          <w:color w:val="2D3748"/>
          <w:sz w:val="21"/>
        </w:rPr>
        <w:t>. World Wide Web Consortium. https://www.w3.org/TR/CSP3/</w:t>
      </w:r>
    </w:p>
    <w:p>
      <w:pPr>
        <w:keepNext/>
        <w:spacing w:before="200" w:after="60" w:line="300" w:lineRule="auto"/>
        <w:jc w:val="left"/>
      </w:pPr>
      <w:r>
        <w:rPr>
          <w:rFonts w:ascii="Calibri" w:hAnsi="Calibri"/>
          <w:b/>
          <w:i w:val="0"/>
          <w:color w:val="2C5282"/>
          <w:sz w:val="25"/>
        </w:rPr>
        <w:t>Open-Source Libraries and Frameworks</w:t>
      </w:r>
    </w:p>
    <w:p>
      <w:pPr>
        <w:spacing w:before="20" w:after="60" w:line="276" w:lineRule="auto"/>
        <w:ind w:left="360"/>
        <w:jc w:val="left"/>
      </w:pPr>
      <w:r>
        <w:rPr>
          <w:rFonts w:ascii="Calibri" w:hAnsi="Calibri"/>
          <w:b/>
          <w:i w:val="0"/>
          <w:color w:val="2B6CB0"/>
          <w:sz w:val="21"/>
        </w:rPr>
        <w:t xml:space="preserve">10.  </w:t>
      </w:r>
      <w:r>
        <w:rPr>
          <w:rFonts w:ascii="Calibri" w:hAnsi="Calibri"/>
          <w:b/>
          <w:i w:val="0"/>
          <w:color w:val="2D3748"/>
          <w:sz w:val="21"/>
        </w:rPr>
        <w:t>Node.js:</w:t>
      </w:r>
      <w:r>
        <w:rPr>
          <w:rFonts w:ascii="Calibri" w:hAnsi="Calibri"/>
          <w:b w:val="0"/>
          <w:i w:val="0"/>
          <w:color w:val="2D3748"/>
          <w:sz w:val="21"/>
        </w:rPr>
        <w:t xml:space="preserve"> OpenJS Foundation. </w:t>
      </w:r>
      <w:r>
        <w:rPr>
          <w:rFonts w:ascii="Calibri" w:hAnsi="Calibri"/>
          <w:b w:val="0"/>
          <w:i/>
          <w:color w:val="2D3748"/>
          <w:sz w:val="21"/>
        </w:rPr>
        <w:t>Node.js v20 LTS Documentation</w:t>
      </w:r>
      <w:r>
        <w:rPr>
          <w:rFonts w:ascii="Calibri" w:hAnsi="Calibri"/>
          <w:b w:val="0"/>
          <w:i w:val="0"/>
          <w:color w:val="2D3748"/>
          <w:sz w:val="21"/>
        </w:rPr>
        <w:t>. https://nodejs.org/docs/</w:t>
      </w:r>
    </w:p>
    <w:p>
      <w:pPr>
        <w:spacing w:before="20" w:after="60" w:line="276" w:lineRule="auto"/>
        <w:ind w:left="360"/>
        <w:jc w:val="left"/>
      </w:pPr>
      <w:r>
        <w:rPr>
          <w:rFonts w:ascii="Calibri" w:hAnsi="Calibri"/>
          <w:b/>
          <w:i w:val="0"/>
          <w:color w:val="2B6CB0"/>
          <w:sz w:val="21"/>
        </w:rPr>
        <w:t xml:space="preserve">11.  </w:t>
      </w:r>
      <w:r>
        <w:rPr>
          <w:rFonts w:ascii="Calibri" w:hAnsi="Calibri"/>
          <w:b/>
          <w:i w:val="0"/>
          <w:color w:val="2D3748"/>
          <w:sz w:val="21"/>
        </w:rPr>
        <w:t>Express:</w:t>
      </w:r>
      <w:r>
        <w:rPr>
          <w:rFonts w:ascii="Calibri" w:hAnsi="Calibri"/>
          <w:b w:val="0"/>
          <w:i w:val="0"/>
          <w:color w:val="2D3748"/>
          <w:sz w:val="21"/>
        </w:rPr>
        <w:t xml:space="preserve"> OpenJS Foundation. </w:t>
      </w:r>
      <w:r>
        <w:rPr>
          <w:rFonts w:ascii="Calibri" w:hAnsi="Calibri"/>
          <w:b w:val="0"/>
          <w:i/>
          <w:color w:val="2D3748"/>
          <w:sz w:val="21"/>
        </w:rPr>
        <w:t>Express 4.x API Reference</w:t>
      </w:r>
      <w:r>
        <w:rPr>
          <w:rFonts w:ascii="Calibri" w:hAnsi="Calibri"/>
          <w:b w:val="0"/>
          <w:i w:val="0"/>
          <w:color w:val="2D3748"/>
          <w:sz w:val="21"/>
        </w:rPr>
        <w:t>. https://expressjs.com/</w:t>
      </w:r>
    </w:p>
    <w:p>
      <w:pPr>
        <w:spacing w:before="20" w:after="60" w:line="276" w:lineRule="auto"/>
        <w:ind w:left="360"/>
        <w:jc w:val="left"/>
      </w:pPr>
      <w:r>
        <w:rPr>
          <w:rFonts w:ascii="Calibri" w:hAnsi="Calibri"/>
          <w:b/>
          <w:i w:val="0"/>
          <w:color w:val="2B6CB0"/>
          <w:sz w:val="21"/>
        </w:rPr>
        <w:t xml:space="preserve">12.  </w:t>
      </w:r>
      <w:r>
        <w:rPr>
          <w:rFonts w:ascii="Calibri" w:hAnsi="Calibri"/>
          <w:b/>
          <w:i w:val="0"/>
          <w:color w:val="2D3748"/>
          <w:sz w:val="21"/>
        </w:rPr>
        <w:t>React:</w:t>
      </w:r>
      <w:r>
        <w:rPr>
          <w:rFonts w:ascii="Calibri" w:hAnsi="Calibri"/>
          <w:b w:val="0"/>
          <w:i w:val="0"/>
          <w:color w:val="2D3748"/>
          <w:sz w:val="21"/>
        </w:rPr>
        <w:t xml:space="preserve"> Meta Platforms, Inc. </w:t>
      </w:r>
      <w:r>
        <w:rPr>
          <w:rFonts w:ascii="Calibri" w:hAnsi="Calibri"/>
          <w:b w:val="0"/>
          <w:i/>
          <w:color w:val="2D3748"/>
          <w:sz w:val="21"/>
        </w:rPr>
        <w:t>React 19 Documentation</w:t>
      </w:r>
      <w:r>
        <w:rPr>
          <w:rFonts w:ascii="Calibri" w:hAnsi="Calibri"/>
          <w:b w:val="0"/>
          <w:i w:val="0"/>
          <w:color w:val="2D3748"/>
          <w:sz w:val="21"/>
        </w:rPr>
        <w:t>. https://react.dev/</w:t>
      </w:r>
    </w:p>
    <w:p>
      <w:pPr>
        <w:spacing w:before="20" w:after="60" w:line="276" w:lineRule="auto"/>
        <w:ind w:left="360"/>
        <w:jc w:val="left"/>
      </w:pPr>
      <w:r>
        <w:rPr>
          <w:rFonts w:ascii="Calibri" w:hAnsi="Calibri"/>
          <w:b/>
          <w:i w:val="0"/>
          <w:color w:val="2B6CB0"/>
          <w:sz w:val="21"/>
        </w:rPr>
        <w:t xml:space="preserve">13.  </w:t>
      </w:r>
      <w:r>
        <w:rPr>
          <w:rFonts w:ascii="Calibri" w:hAnsi="Calibri"/>
          <w:b/>
          <w:i w:val="0"/>
          <w:color w:val="2D3748"/>
          <w:sz w:val="21"/>
        </w:rPr>
        <w:t>Vite:</w:t>
      </w:r>
      <w:r>
        <w:rPr>
          <w:rFonts w:ascii="Calibri" w:hAnsi="Calibri"/>
          <w:b w:val="0"/>
          <w:i w:val="0"/>
          <w:color w:val="2D3748"/>
          <w:sz w:val="21"/>
        </w:rPr>
        <w:t xml:space="preserve"> You, E., &amp; Vite Contributors. </w:t>
      </w:r>
      <w:r>
        <w:rPr>
          <w:rFonts w:ascii="Calibri" w:hAnsi="Calibri"/>
          <w:b w:val="0"/>
          <w:i/>
          <w:color w:val="2D3748"/>
          <w:sz w:val="21"/>
        </w:rPr>
        <w:t>Vite: Next Generation Frontend Tooling</w:t>
      </w:r>
      <w:r>
        <w:rPr>
          <w:rFonts w:ascii="Calibri" w:hAnsi="Calibri"/>
          <w:b w:val="0"/>
          <w:i w:val="0"/>
          <w:color w:val="2D3748"/>
          <w:sz w:val="21"/>
        </w:rPr>
        <w:t>. https://vite.dev/</w:t>
      </w:r>
    </w:p>
    <w:p>
      <w:pPr>
        <w:spacing w:before="20" w:after="60" w:line="276" w:lineRule="auto"/>
        <w:ind w:left="360"/>
        <w:jc w:val="left"/>
      </w:pPr>
      <w:r>
        <w:rPr>
          <w:rFonts w:ascii="Calibri" w:hAnsi="Calibri"/>
          <w:b/>
          <w:i w:val="0"/>
          <w:color w:val="2B6CB0"/>
          <w:sz w:val="21"/>
        </w:rPr>
        <w:t xml:space="preserve">14.  </w:t>
      </w:r>
      <w:r>
        <w:rPr>
          <w:rFonts w:ascii="Calibri" w:hAnsi="Calibri"/>
          <w:b/>
          <w:i w:val="0"/>
          <w:color w:val="2D3748"/>
          <w:sz w:val="21"/>
        </w:rPr>
        <w:t>Leaflet:</w:t>
      </w:r>
      <w:r>
        <w:rPr>
          <w:rFonts w:ascii="Calibri" w:hAnsi="Calibri"/>
          <w:b w:val="0"/>
          <w:i w:val="0"/>
          <w:color w:val="2D3748"/>
          <w:sz w:val="21"/>
        </w:rPr>
        <w:t xml:space="preserve"> Agafonkin, V. </w:t>
      </w:r>
      <w:r>
        <w:rPr>
          <w:rFonts w:ascii="Calibri" w:hAnsi="Calibri"/>
          <w:b w:val="0"/>
          <w:i/>
          <w:color w:val="2D3748"/>
          <w:sz w:val="21"/>
        </w:rPr>
        <w:t>Leaflet - an open-source JavaScript library for mobile-friendly interactive maps</w:t>
      </w:r>
      <w:r>
        <w:rPr>
          <w:rFonts w:ascii="Calibri" w:hAnsi="Calibri"/>
          <w:b w:val="0"/>
          <w:i w:val="0"/>
          <w:color w:val="2D3748"/>
          <w:sz w:val="21"/>
        </w:rPr>
        <w:t>. https://leafletjs.com/</w:t>
      </w:r>
    </w:p>
    <w:p>
      <w:pPr>
        <w:spacing w:before="20" w:after="60" w:line="276" w:lineRule="auto"/>
        <w:ind w:left="360"/>
        <w:jc w:val="left"/>
      </w:pPr>
      <w:r>
        <w:rPr>
          <w:rFonts w:ascii="Calibri" w:hAnsi="Calibri"/>
          <w:b/>
          <w:i w:val="0"/>
          <w:color w:val="2B6CB0"/>
          <w:sz w:val="21"/>
        </w:rPr>
        <w:t xml:space="preserve">15.  </w:t>
      </w:r>
      <w:r>
        <w:rPr>
          <w:rFonts w:ascii="Calibri" w:hAnsi="Calibri"/>
          <w:b/>
          <w:i w:val="0"/>
          <w:color w:val="2D3748"/>
          <w:sz w:val="21"/>
        </w:rPr>
        <w:t>PostgreSQL:</w:t>
      </w:r>
      <w:r>
        <w:rPr>
          <w:rFonts w:ascii="Calibri" w:hAnsi="Calibri"/>
          <w:b w:val="0"/>
          <w:i w:val="0"/>
          <w:color w:val="2D3748"/>
          <w:sz w:val="21"/>
        </w:rPr>
        <w:t xml:space="preserve"> PostgreSQL Global Development Group. </w:t>
      </w:r>
      <w:r>
        <w:rPr>
          <w:rFonts w:ascii="Calibri" w:hAnsi="Calibri"/>
          <w:b w:val="0"/>
          <w:i/>
          <w:color w:val="2D3748"/>
          <w:sz w:val="21"/>
        </w:rPr>
        <w:t>PostgreSQL 16 Documentation</w:t>
      </w:r>
      <w:r>
        <w:rPr>
          <w:rFonts w:ascii="Calibri" w:hAnsi="Calibri"/>
          <w:b w:val="0"/>
          <w:i w:val="0"/>
          <w:color w:val="2D3748"/>
          <w:sz w:val="21"/>
        </w:rPr>
        <w:t>. https://www.postgresql.org/docs/</w:t>
      </w:r>
    </w:p>
    <w:p>
      <w:pPr>
        <w:keepNext/>
        <w:spacing w:before="200" w:after="60" w:line="300" w:lineRule="auto"/>
        <w:jc w:val="left"/>
      </w:pPr>
      <w:r>
        <w:rPr>
          <w:rFonts w:ascii="Calibri" w:hAnsi="Calibri"/>
          <w:b/>
          <w:i w:val="0"/>
          <w:color w:val="2C5282"/>
          <w:sz w:val="25"/>
        </w:rPr>
        <w:t>Threat Intelligence &amp; Vulnerability Registries</w:t>
      </w:r>
    </w:p>
    <w:p>
      <w:pPr>
        <w:spacing w:before="20" w:after="60" w:line="276" w:lineRule="auto"/>
        <w:ind w:left="360"/>
        <w:jc w:val="left"/>
      </w:pPr>
      <w:r>
        <w:rPr>
          <w:rFonts w:ascii="Calibri" w:hAnsi="Calibri"/>
          <w:b/>
          <w:i w:val="0"/>
          <w:color w:val="2B6CB0"/>
          <w:sz w:val="21"/>
        </w:rPr>
        <w:t xml:space="preserve">16.  </w:t>
      </w:r>
      <w:r>
        <w:rPr>
          <w:rFonts w:ascii="Calibri" w:hAnsi="Calibri"/>
          <w:b/>
          <w:i w:val="0"/>
          <w:color w:val="2D3748"/>
          <w:sz w:val="21"/>
        </w:rPr>
        <w:t>Shodan InternetDB API:</w:t>
      </w:r>
      <w:r>
        <w:rPr>
          <w:rFonts w:ascii="Calibri" w:hAnsi="Calibri"/>
          <w:b w:val="0"/>
          <w:i w:val="0"/>
          <w:color w:val="2D3748"/>
          <w:sz w:val="21"/>
        </w:rPr>
        <w:t xml:space="preserve"> Shodan, LLC. </w:t>
      </w:r>
      <w:r>
        <w:rPr>
          <w:rFonts w:ascii="Calibri" w:hAnsi="Calibri"/>
          <w:b w:val="0"/>
          <w:i/>
          <w:color w:val="2D3748"/>
          <w:sz w:val="21"/>
        </w:rPr>
        <w:t>InternetDB API Documentation</w:t>
      </w:r>
      <w:r>
        <w:rPr>
          <w:rFonts w:ascii="Calibri" w:hAnsi="Calibri"/>
          <w:b w:val="0"/>
          <w:i w:val="0"/>
          <w:color w:val="2D3748"/>
          <w:sz w:val="21"/>
        </w:rPr>
        <w:t>. https://internetdb.shodan.io/</w:t>
      </w:r>
    </w:p>
    <w:p>
      <w:pPr>
        <w:spacing w:before="20" w:after="60" w:line="276" w:lineRule="auto"/>
        <w:ind w:left="360"/>
        <w:jc w:val="left"/>
      </w:pPr>
      <w:r>
        <w:rPr>
          <w:rFonts w:ascii="Calibri" w:hAnsi="Calibri"/>
          <w:b/>
          <w:i w:val="0"/>
          <w:color w:val="2B6CB0"/>
          <w:sz w:val="21"/>
        </w:rPr>
        <w:t xml:space="preserve">17.  </w:t>
      </w:r>
      <w:r>
        <w:rPr>
          <w:rFonts w:ascii="Calibri" w:hAnsi="Calibri"/>
          <w:b/>
          <w:i w:val="0"/>
          <w:color w:val="2D3748"/>
          <w:sz w:val="21"/>
        </w:rPr>
        <w:t>crt.sh Certificate Transparency Search:</w:t>
      </w:r>
      <w:r>
        <w:rPr>
          <w:rFonts w:ascii="Calibri" w:hAnsi="Calibri"/>
          <w:b w:val="0"/>
          <w:i w:val="0"/>
          <w:color w:val="2D3748"/>
          <w:sz w:val="21"/>
        </w:rPr>
        <w:t xml:space="preserve"> Sectigo. </w:t>
      </w:r>
      <w:r>
        <w:rPr>
          <w:rFonts w:ascii="Calibri" w:hAnsi="Calibri"/>
          <w:b w:val="0"/>
          <w:i/>
          <w:color w:val="2D3748"/>
          <w:sz w:val="21"/>
        </w:rPr>
        <w:t>crt.sh Distributed CT Log Monitor</w:t>
      </w:r>
      <w:r>
        <w:rPr>
          <w:rFonts w:ascii="Calibri" w:hAnsi="Calibri"/>
          <w:b w:val="0"/>
          <w:i w:val="0"/>
          <w:color w:val="2D3748"/>
          <w:sz w:val="21"/>
        </w:rPr>
        <w:t>. https://crt.sh/</w:t>
      </w:r>
    </w:p>
    <w:p>
      <w:pPr>
        <w:spacing w:before="20" w:after="60" w:line="276" w:lineRule="auto"/>
        <w:ind w:left="360"/>
        <w:jc w:val="left"/>
      </w:pPr>
      <w:r>
        <w:rPr>
          <w:rFonts w:ascii="Calibri" w:hAnsi="Calibri"/>
          <w:b/>
          <w:i w:val="0"/>
          <w:color w:val="2B6CB0"/>
          <w:sz w:val="21"/>
        </w:rPr>
        <w:t xml:space="preserve">18.  </w:t>
      </w:r>
      <w:r>
        <w:rPr>
          <w:rFonts w:ascii="Calibri" w:hAnsi="Calibri"/>
          <w:b/>
          <w:i w:val="0"/>
          <w:color w:val="2D3748"/>
          <w:sz w:val="21"/>
        </w:rPr>
        <w:t>National Vulnerability Database (NVD):</w:t>
      </w:r>
      <w:r>
        <w:rPr>
          <w:rFonts w:ascii="Calibri" w:hAnsi="Calibri"/>
          <w:b w:val="0"/>
          <w:i w:val="0"/>
          <w:color w:val="2D3748"/>
          <w:sz w:val="21"/>
        </w:rPr>
        <w:t xml:space="preserve"> National Institute of Standards and Technology (NIST). </w:t>
      </w:r>
      <w:r>
        <w:rPr>
          <w:rFonts w:ascii="Calibri" w:hAnsi="Calibri"/>
          <w:b w:val="0"/>
          <w:i/>
          <w:color w:val="2D3748"/>
          <w:sz w:val="21"/>
        </w:rPr>
        <w:t>NVD CVE API</w:t>
      </w:r>
      <w:r>
        <w:rPr>
          <w:rFonts w:ascii="Calibri" w:hAnsi="Calibri"/>
          <w:b w:val="0"/>
          <w:i w:val="0"/>
          <w:color w:val="2D3748"/>
          <w:sz w:val="21"/>
        </w:rPr>
        <w:t>. https://nvd.nist.gov/</w:t>
      </w:r>
    </w:p>
    <w:p>
      <w:pPr>
        <w:spacing w:before="20" w:after="60" w:line="276" w:lineRule="auto"/>
        <w:ind w:left="360"/>
        <w:jc w:val="left"/>
      </w:pPr>
      <w:r>
        <w:rPr>
          <w:rFonts w:ascii="Calibri" w:hAnsi="Calibri"/>
          <w:b/>
          <w:i w:val="0"/>
          <w:color w:val="2B6CB0"/>
          <w:sz w:val="21"/>
        </w:rPr>
        <w:t xml:space="preserve">19.  </w:t>
      </w:r>
      <w:r>
        <w:rPr>
          <w:rFonts w:ascii="Calibri" w:hAnsi="Calibri"/>
          <w:b/>
          <w:i w:val="0"/>
          <w:color w:val="2D3748"/>
          <w:sz w:val="21"/>
        </w:rPr>
        <w:t>OWASP Top Ten:</w:t>
      </w:r>
      <w:r>
        <w:rPr>
          <w:rFonts w:ascii="Calibri" w:hAnsi="Calibri"/>
          <w:b w:val="0"/>
          <w:i w:val="0"/>
          <w:color w:val="2D3748"/>
          <w:sz w:val="21"/>
        </w:rPr>
        <w:t xml:space="preserve"> OWASP Foundation. </w:t>
      </w:r>
      <w:r>
        <w:rPr>
          <w:rFonts w:ascii="Calibri" w:hAnsi="Calibri"/>
          <w:b w:val="0"/>
          <w:i/>
          <w:color w:val="2D3748"/>
          <w:sz w:val="21"/>
        </w:rPr>
        <w:t>OWASP Top 10 Web Application Security Risks</w:t>
      </w:r>
      <w:r>
        <w:rPr>
          <w:rFonts w:ascii="Calibri" w:hAnsi="Calibri"/>
          <w:b w:val="0"/>
          <w:i w:val="0"/>
          <w:color w:val="2D3748"/>
          <w:sz w:val="21"/>
        </w:rPr>
        <w:t>. https://owasp.org/www-project-top-ten/</w:t>
      </w:r>
    </w:p>
    <w:p>
      <w:pPr>
        <w:spacing w:before="20" w:after="60" w:line="276" w:lineRule="auto"/>
        <w:ind w:left="360"/>
        <w:jc w:val="left"/>
      </w:pPr>
      <w:r>
        <w:rPr>
          <w:rFonts w:ascii="Calibri" w:hAnsi="Calibri"/>
          <w:b/>
          <w:i w:val="0"/>
          <w:color w:val="2B6CB0"/>
          <w:sz w:val="21"/>
        </w:rPr>
        <w:t xml:space="preserve">20.  </w:t>
      </w:r>
      <w:r>
        <w:rPr>
          <w:rFonts w:ascii="Calibri" w:hAnsi="Calibri"/>
          <w:b/>
          <w:i w:val="0"/>
          <w:color w:val="2D3748"/>
          <w:sz w:val="21"/>
        </w:rPr>
        <w:t>OWASP Server-Side Request Forgery Prevention Cheat Sheet:</w:t>
      </w:r>
      <w:r>
        <w:rPr>
          <w:rFonts w:ascii="Calibri" w:hAnsi="Calibri"/>
          <w:b w:val="0"/>
          <w:i w:val="0"/>
          <w:color w:val="2D3748"/>
          <w:sz w:val="21"/>
        </w:rPr>
        <w:t xml:space="preserve"> OWASP Foundation. https://cheatsheetseries.owasp.org/cheatsheets/Server_Side_Request_Forgery_Prevention_Cheat_Sheet.html</w:t>
      </w: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18096"/>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Domain Attack Surface Scanner (DASS) — Technical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