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B29F2" w14:textId="77777777" w:rsidR="00BD0A58" w:rsidRDefault="00000000">
      <w:pPr>
        <w:pStyle w:val="Heading1"/>
      </w:pPr>
      <w:bookmarkStart w:id="0" w:name="Xc3f0e208106151937d6e6495829178968fb18a5"/>
      <w:r>
        <w:t>UX Accessibility &amp; Usability Research — Comprehensive Notes (Fall 2025)</w:t>
      </w:r>
    </w:p>
    <w:p w14:paraId="1694DBB8" w14:textId="3EDD2D0F" w:rsidR="00BD0A58" w:rsidRDefault="00000000">
      <w:pPr>
        <w:pStyle w:val="FirstParagraph"/>
      </w:pPr>
      <w:r>
        <w:rPr>
          <w:b/>
          <w:bCs/>
        </w:rPr>
        <w:t>Prepared by:</w:t>
      </w:r>
      <w:r>
        <w:t xml:space="preserve"> </w:t>
      </w:r>
      <w:r w:rsidR="003606E6">
        <w:t>Mihir Mahale</w:t>
      </w:r>
    </w:p>
    <w:p w14:paraId="67BDDB29" w14:textId="77777777" w:rsidR="00BD0A58" w:rsidRDefault="00000000">
      <w:pPr>
        <w:pStyle w:val="BodyText"/>
      </w:pPr>
      <w:r>
        <w:rPr>
          <w:b/>
          <w:bCs/>
        </w:rPr>
        <w:t>Scope:</w:t>
      </w:r>
      <w:r>
        <w:t xml:space="preserve"> Consolidated research notes drawn from readings on accessibility (WCAG, ADA, EAA), usability heuristics, heuristic evaluation practice, usability‑testing methods, Don Norman’s interaction model, core UX research methods, contextual inquiry, user interviews, Krug’s First Law, and additional industry guidance.</w:t>
      </w:r>
    </w:p>
    <w:p w14:paraId="798DB25F" w14:textId="77777777" w:rsidR="00BD0A58" w:rsidRDefault="00B30C10">
      <w:r>
        <w:rPr>
          <w:noProof/>
        </w:rPr>
        <w:pict w14:anchorId="2AF4BFAF">
          <v:rect id="_x0000_i1041" alt="" style="width:468pt;height:.05pt;mso-width-percent:0;mso-height-percent:0;mso-width-percent:0;mso-height-percent:0" o:hralign="center" o:hrstd="t" o:hr="t"/>
        </w:pict>
      </w:r>
    </w:p>
    <w:p w14:paraId="4C00D7BA" w14:textId="77777777" w:rsidR="00BD0A58" w:rsidRDefault="00000000">
      <w:pPr>
        <w:pStyle w:val="Heading2"/>
      </w:pPr>
      <w:bookmarkStart w:id="1" w:name="executive-summary"/>
      <w:r>
        <w:t>1) Executive Summary</w:t>
      </w:r>
    </w:p>
    <w:p w14:paraId="5760E617" w14:textId="77777777" w:rsidR="00BD0A58" w:rsidRDefault="00000000">
      <w:pPr>
        <w:pStyle w:val="Compact"/>
        <w:numPr>
          <w:ilvl w:val="0"/>
          <w:numId w:val="2"/>
        </w:numPr>
      </w:pPr>
      <w:r>
        <w:t>Accessibility and inclusion are moral, legal, and market imperatives. Building accessible products aligns with core values, mitigates legal risk (ADA, EAA), and expands reach to over a billion people with disabilities. It also improves overall UX quality and reduces defects.</w:t>
      </w:r>
    </w:p>
    <w:p w14:paraId="3B67F34C" w14:textId="77777777" w:rsidR="00BD0A58" w:rsidRDefault="00000000">
      <w:pPr>
        <w:pStyle w:val="Compact"/>
        <w:numPr>
          <w:ilvl w:val="0"/>
          <w:numId w:val="2"/>
        </w:numPr>
      </w:pPr>
      <w:r>
        <w:t xml:space="preserve">WCAG 2.2 (back‑compatible with 2.1/2.0) is the current global standard referenced in laws and procurement standards. It organizes requirements under </w:t>
      </w:r>
      <w:r>
        <w:rPr>
          <w:b/>
          <w:bCs/>
        </w:rPr>
        <w:t>POUR</w:t>
      </w:r>
      <w:r>
        <w:t xml:space="preserve"> (Perceivable, Operable, Understandable, Robust) and sets testable </w:t>
      </w:r>
      <w:r>
        <w:rPr>
          <w:b/>
          <w:bCs/>
        </w:rPr>
        <w:t>success criteria</w:t>
      </w:r>
      <w:r>
        <w:t xml:space="preserve"> at </w:t>
      </w:r>
      <w:r>
        <w:rPr>
          <w:b/>
          <w:bCs/>
        </w:rPr>
        <w:t>A/AA/AAA</w:t>
      </w:r>
      <w:r>
        <w:t>.</w:t>
      </w:r>
    </w:p>
    <w:p w14:paraId="1DED7684" w14:textId="77777777" w:rsidR="00BD0A58" w:rsidRDefault="00000000">
      <w:pPr>
        <w:pStyle w:val="Compact"/>
        <w:numPr>
          <w:ilvl w:val="0"/>
          <w:numId w:val="2"/>
        </w:numPr>
      </w:pPr>
      <w:r>
        <w:t xml:space="preserve">Usability best practice is codified in </w:t>
      </w:r>
      <w:r>
        <w:rPr>
          <w:b/>
          <w:bCs/>
        </w:rPr>
        <w:t>Nielsen’s 10 heuristics</w:t>
      </w:r>
      <w:r>
        <w:t xml:space="preserve"> and </w:t>
      </w:r>
      <w:r>
        <w:rPr>
          <w:b/>
          <w:bCs/>
        </w:rPr>
        <w:t>heuristic evaluation</w:t>
      </w:r>
      <w:r>
        <w:t xml:space="preserve"> process. Heuristics are fast, low‑cost checks; they complement (not replace) research with users.</w:t>
      </w:r>
    </w:p>
    <w:p w14:paraId="39E85981" w14:textId="77777777" w:rsidR="00BD0A58" w:rsidRDefault="00000000">
      <w:pPr>
        <w:pStyle w:val="Compact"/>
        <w:numPr>
          <w:ilvl w:val="0"/>
          <w:numId w:val="2"/>
        </w:numPr>
      </w:pPr>
      <w:r>
        <w:rPr>
          <w:b/>
          <w:bCs/>
        </w:rPr>
        <w:t>Don Norman’s Action Cycle</w:t>
      </w:r>
      <w:r>
        <w:t xml:space="preserve"> and levels of processing (visceral, behavioral, reflective) explain how humans form goals, act, perceive feedback, and evaluate outcomes—useful lenses for designing intuitive interactions.</w:t>
      </w:r>
    </w:p>
    <w:p w14:paraId="21BE8281" w14:textId="77777777" w:rsidR="00BD0A58" w:rsidRDefault="00000000">
      <w:pPr>
        <w:pStyle w:val="Compact"/>
        <w:numPr>
          <w:ilvl w:val="0"/>
          <w:numId w:val="2"/>
        </w:numPr>
      </w:pPr>
      <w:r>
        <w:rPr>
          <w:b/>
          <w:bCs/>
        </w:rPr>
        <w:t>Core UX research methods</w:t>
      </w:r>
      <w:r>
        <w:t xml:space="preserve"> (interviews, usability testing, contextual inquiry, analytics, card sorting/tree testing, etc.) each answer different questions. Mixing attitudinal and behavioral approaches de‑risks design decisions.</w:t>
      </w:r>
    </w:p>
    <w:p w14:paraId="24A16422" w14:textId="77777777" w:rsidR="00BD0A58" w:rsidRDefault="00000000">
      <w:pPr>
        <w:pStyle w:val="Compact"/>
        <w:numPr>
          <w:ilvl w:val="0"/>
          <w:numId w:val="2"/>
        </w:numPr>
      </w:pPr>
      <w:r>
        <w:rPr>
          <w:b/>
          <w:bCs/>
        </w:rPr>
        <w:t>Krug’s First Law (“Don’t Make Me Think”)</w:t>
      </w:r>
      <w:r>
        <w:t>: reduce cognitive load; prioritize clarity, obvious affordances, and self‑evident navigation.</w:t>
      </w:r>
    </w:p>
    <w:p w14:paraId="5E8B3AF3" w14:textId="77777777" w:rsidR="00BD0A58" w:rsidRDefault="00000000">
      <w:pPr>
        <w:pStyle w:val="FirstParagraph"/>
      </w:pPr>
      <w:r>
        <w:rPr>
          <w:b/>
          <w:bCs/>
        </w:rPr>
        <w:t>Immediate takeaways</w:t>
      </w:r>
      <w:r>
        <w:t xml:space="preserve"> - Bake accessibility into Definition of Done; test with assistive tech and diverse users. - Use WCAG 2.2 </w:t>
      </w:r>
      <w:r>
        <w:rPr>
          <w:b/>
          <w:bCs/>
        </w:rPr>
        <w:t>Level AA</w:t>
      </w:r>
      <w:r>
        <w:t xml:space="preserve"> as the baseline; track new/updated SCs (e.g., </w:t>
      </w:r>
      <w:r>
        <w:rPr>
          <w:b/>
          <w:bCs/>
        </w:rPr>
        <w:t>2.4.11–2.4.13</w:t>
      </w:r>
      <w:r>
        <w:t xml:space="preserve">, </w:t>
      </w:r>
      <w:r>
        <w:rPr>
          <w:b/>
          <w:bCs/>
        </w:rPr>
        <w:t>2.5.7–2.5.8</w:t>
      </w:r>
      <w:r>
        <w:t xml:space="preserve">, </w:t>
      </w:r>
      <w:r>
        <w:rPr>
          <w:b/>
          <w:bCs/>
        </w:rPr>
        <w:t>3.2.6</w:t>
      </w:r>
      <w:r>
        <w:t xml:space="preserve">, </w:t>
      </w:r>
      <w:r>
        <w:rPr>
          <w:b/>
          <w:bCs/>
        </w:rPr>
        <w:t>3.3.7–3.3.9</w:t>
      </w:r>
      <w:r>
        <w:t xml:space="preserve">). - Run lightweight </w:t>
      </w:r>
      <w:r>
        <w:rPr>
          <w:b/>
          <w:bCs/>
        </w:rPr>
        <w:t>heuristic evaluations</w:t>
      </w:r>
      <w:r>
        <w:t xml:space="preserve"> early; follow with </w:t>
      </w:r>
      <w:r>
        <w:rPr>
          <w:b/>
          <w:bCs/>
        </w:rPr>
        <w:t>usability testing</w:t>
      </w:r>
      <w:r>
        <w:t xml:space="preserve"> (5 users per group for qualitative rounds) before shipping. - Choose research methods by goal (discovery vs. evaluation; attitudinal vs. behavioral; moderated vs. unmoderated; remote vs. in‑person).</w:t>
      </w:r>
    </w:p>
    <w:p w14:paraId="1E616AE0" w14:textId="77777777" w:rsidR="00BD0A58" w:rsidRDefault="00B30C10">
      <w:r>
        <w:rPr>
          <w:noProof/>
        </w:rPr>
        <w:pict w14:anchorId="2FCF4362">
          <v:rect id="_x0000_i1040" alt="" style="width:468pt;height:.05pt;mso-width-percent:0;mso-height-percent:0;mso-width-percent:0;mso-height-percent:0" o:hralign="center" o:hrstd="t" o:hr="t"/>
        </w:pict>
      </w:r>
    </w:p>
    <w:p w14:paraId="1A4DCAC0" w14:textId="77777777" w:rsidR="00BD0A58" w:rsidRDefault="00000000">
      <w:pPr>
        <w:pStyle w:val="Heading2"/>
      </w:pPr>
      <w:bookmarkStart w:id="2" w:name="Xacc7ed7abb862be5df350df08cb1ede86a225ea"/>
      <w:bookmarkEnd w:id="1"/>
      <w:r>
        <w:lastRenderedPageBreak/>
        <w:t xml:space="preserve">2) Inclusion &amp; Accessibility — Why It Matters (Reading: </w:t>
      </w:r>
      <w:r>
        <w:rPr>
          <w:i/>
          <w:iCs/>
        </w:rPr>
        <w:t>Why Inclusion and Accessibility Matter in Software Development</w:t>
      </w:r>
      <w:r>
        <w:t>)</w:t>
      </w:r>
    </w:p>
    <w:p w14:paraId="3567E425" w14:textId="77777777" w:rsidR="00BD0A58" w:rsidRDefault="00000000">
      <w:pPr>
        <w:pStyle w:val="Heading3"/>
      </w:pPr>
      <w:bookmarkStart w:id="3" w:name="moral-legal-market-drivers"/>
      <w:r>
        <w:t>2.1 Moral, Legal, Market Drivers</w:t>
      </w:r>
    </w:p>
    <w:p w14:paraId="6DA8225A" w14:textId="77777777" w:rsidR="00BD0A58" w:rsidRDefault="00000000">
      <w:pPr>
        <w:pStyle w:val="Compact"/>
        <w:numPr>
          <w:ilvl w:val="0"/>
          <w:numId w:val="3"/>
        </w:numPr>
      </w:pPr>
      <w:r>
        <w:rPr>
          <w:b/>
          <w:bCs/>
        </w:rPr>
        <w:t>Moral</w:t>
      </w:r>
      <w:r>
        <w:t>: equitable access to essential digital services (banking, healthcare, commerce, communication).</w:t>
      </w:r>
    </w:p>
    <w:p w14:paraId="663AB866" w14:textId="77777777" w:rsidR="00BD0A58" w:rsidRDefault="00000000">
      <w:pPr>
        <w:pStyle w:val="Compact"/>
        <w:numPr>
          <w:ilvl w:val="0"/>
          <w:numId w:val="3"/>
        </w:numPr>
      </w:pPr>
      <w:r>
        <w:rPr>
          <w:b/>
          <w:bCs/>
        </w:rPr>
        <w:t>Legal</w:t>
      </w:r>
      <w:r>
        <w:t>:</w:t>
      </w:r>
    </w:p>
    <w:p w14:paraId="75C11BDC" w14:textId="77777777" w:rsidR="00BD0A58" w:rsidRDefault="00000000">
      <w:pPr>
        <w:pStyle w:val="Compact"/>
        <w:numPr>
          <w:ilvl w:val="1"/>
          <w:numId w:val="4"/>
        </w:numPr>
      </w:pPr>
      <w:r>
        <w:rPr>
          <w:b/>
          <w:bCs/>
        </w:rPr>
        <w:t>ADA (US)</w:t>
      </w:r>
      <w:r>
        <w:t>: requires accessible websites/apps/docs; screen‑reader compatibility, keyboard access, captions, etc.</w:t>
      </w:r>
    </w:p>
    <w:p w14:paraId="0C56BBF7" w14:textId="77777777" w:rsidR="00BD0A58" w:rsidRDefault="00000000">
      <w:pPr>
        <w:pStyle w:val="Compact"/>
        <w:numPr>
          <w:ilvl w:val="1"/>
          <w:numId w:val="4"/>
        </w:numPr>
      </w:pPr>
      <w:r>
        <w:rPr>
          <w:b/>
          <w:bCs/>
        </w:rPr>
        <w:t>EAA (EU)</w:t>
      </w:r>
      <w:r>
        <w:t xml:space="preserve">: compliance required by </w:t>
      </w:r>
      <w:r>
        <w:rPr>
          <w:b/>
          <w:bCs/>
        </w:rPr>
        <w:t>June 2025</w:t>
      </w:r>
      <w:r>
        <w:t xml:space="preserve"> across covered ICT products/services; non‑compliance can trigger enforcement.</w:t>
      </w:r>
    </w:p>
    <w:p w14:paraId="76759B90" w14:textId="77777777" w:rsidR="00BD0A58" w:rsidRDefault="00000000">
      <w:pPr>
        <w:pStyle w:val="Compact"/>
        <w:numPr>
          <w:ilvl w:val="1"/>
          <w:numId w:val="4"/>
        </w:numPr>
      </w:pPr>
      <w:r>
        <w:rPr>
          <w:b/>
          <w:bCs/>
        </w:rPr>
        <w:t>WCAG</w:t>
      </w:r>
      <w:r>
        <w:t xml:space="preserve">: widely adopted technical baseline (often </w:t>
      </w:r>
      <w:r>
        <w:rPr>
          <w:b/>
          <w:bCs/>
        </w:rPr>
        <w:t>2.1/2.2 Level AA</w:t>
      </w:r>
      <w:r>
        <w:t>).</w:t>
      </w:r>
    </w:p>
    <w:p w14:paraId="18DDE34B" w14:textId="77777777" w:rsidR="00BD0A58" w:rsidRDefault="00000000">
      <w:pPr>
        <w:pStyle w:val="Compact"/>
        <w:numPr>
          <w:ilvl w:val="1"/>
          <w:numId w:val="4"/>
        </w:numPr>
      </w:pPr>
      <w:r>
        <w:t xml:space="preserve">Other frameworks: </w:t>
      </w:r>
      <w:r>
        <w:rPr>
          <w:b/>
          <w:bCs/>
        </w:rPr>
        <w:t>Section 508 (US Gov)</w:t>
      </w:r>
      <w:r>
        <w:t xml:space="preserve">, </w:t>
      </w:r>
      <w:r>
        <w:rPr>
          <w:b/>
          <w:bCs/>
        </w:rPr>
        <w:t>UK Equality Act 2010</w:t>
      </w:r>
      <w:r>
        <w:t>.</w:t>
      </w:r>
    </w:p>
    <w:p w14:paraId="13657104" w14:textId="77777777" w:rsidR="00BD0A58" w:rsidRDefault="00000000">
      <w:pPr>
        <w:pStyle w:val="Compact"/>
        <w:numPr>
          <w:ilvl w:val="0"/>
          <w:numId w:val="3"/>
        </w:numPr>
      </w:pPr>
      <w:r>
        <w:rPr>
          <w:b/>
          <w:bCs/>
        </w:rPr>
        <w:t>Market</w:t>
      </w:r>
      <w:r>
        <w:t>: accessibility broadens audience, improves UX for all, drives innovation (e.g., voice control), reduces bugs via more rigorous testing, and strengthens brand reputation.</w:t>
      </w:r>
    </w:p>
    <w:p w14:paraId="35AD65D8" w14:textId="77777777" w:rsidR="00BD0A58" w:rsidRDefault="00000000">
      <w:pPr>
        <w:pStyle w:val="Heading3"/>
      </w:pPr>
      <w:bookmarkStart w:id="4" w:name="qadelivery-strategies"/>
      <w:bookmarkEnd w:id="3"/>
      <w:r>
        <w:t>2.2 QA/Delivery Strategies</w:t>
      </w:r>
    </w:p>
    <w:p w14:paraId="5828DC92" w14:textId="77777777" w:rsidR="00BD0A58" w:rsidRDefault="00000000">
      <w:pPr>
        <w:pStyle w:val="Compact"/>
        <w:numPr>
          <w:ilvl w:val="0"/>
          <w:numId w:val="5"/>
        </w:numPr>
      </w:pPr>
      <w:r>
        <w:t xml:space="preserve">Integrate accessibility into </w:t>
      </w:r>
      <w:r>
        <w:rPr>
          <w:b/>
          <w:bCs/>
        </w:rPr>
        <w:t>every stage</w:t>
      </w:r>
      <w:r>
        <w:t>: requirements → design → build → QA → release → monitoring.</w:t>
      </w:r>
    </w:p>
    <w:p w14:paraId="32A2A35C" w14:textId="77777777" w:rsidR="00BD0A58" w:rsidRDefault="00000000">
      <w:pPr>
        <w:pStyle w:val="Compact"/>
        <w:numPr>
          <w:ilvl w:val="0"/>
          <w:numId w:val="5"/>
        </w:numPr>
      </w:pPr>
      <w:r>
        <w:rPr>
          <w:b/>
          <w:bCs/>
        </w:rPr>
        <w:t>Assistive tech in testing</w:t>
      </w:r>
      <w:r>
        <w:t>: screen readers (NVDA, JAWS, VoiceOver), voice control, switch access; real‑device, multi‑browser coverage.</w:t>
      </w:r>
    </w:p>
    <w:p w14:paraId="2461BD7E" w14:textId="77777777" w:rsidR="00BD0A58" w:rsidRDefault="00000000">
      <w:pPr>
        <w:pStyle w:val="Compact"/>
        <w:numPr>
          <w:ilvl w:val="0"/>
          <w:numId w:val="5"/>
        </w:numPr>
      </w:pPr>
      <w:r>
        <w:rPr>
          <w:b/>
          <w:bCs/>
        </w:rPr>
        <w:t>User testing with people with disabilities</w:t>
      </w:r>
      <w:r>
        <w:t xml:space="preserve"> for authentic feedback.</w:t>
      </w:r>
    </w:p>
    <w:p w14:paraId="54AF3FAC" w14:textId="77777777" w:rsidR="00BD0A58" w:rsidRDefault="00000000">
      <w:pPr>
        <w:pStyle w:val="Compact"/>
        <w:numPr>
          <w:ilvl w:val="0"/>
          <w:numId w:val="5"/>
        </w:numPr>
      </w:pPr>
      <w:r>
        <w:t xml:space="preserve">Ongoing </w:t>
      </w:r>
      <w:r>
        <w:rPr>
          <w:b/>
          <w:bCs/>
        </w:rPr>
        <w:t>audits</w:t>
      </w:r>
      <w:r>
        <w:t xml:space="preserve"> using both automated tools and manual testing; stay current with standards updates.</w:t>
      </w:r>
    </w:p>
    <w:p w14:paraId="622A8C76" w14:textId="77777777" w:rsidR="00BD0A58" w:rsidRDefault="00B30C10">
      <w:r>
        <w:rPr>
          <w:noProof/>
        </w:rPr>
        <w:pict w14:anchorId="117CB0B5">
          <v:rect id="_x0000_i1039" alt="" style="width:468pt;height:.05pt;mso-width-percent:0;mso-height-percent:0;mso-width-percent:0;mso-height-percent:0" o:hralign="center" o:hrstd="t" o:hr="t"/>
        </w:pict>
      </w:r>
    </w:p>
    <w:p w14:paraId="155B890D" w14:textId="77777777" w:rsidR="00BD0A58" w:rsidRDefault="00000000">
      <w:pPr>
        <w:pStyle w:val="Heading2"/>
      </w:pPr>
      <w:bookmarkStart w:id="5" w:name="wcag-2.x-overview-and-whats-new-in-2.2"/>
      <w:bookmarkEnd w:id="2"/>
      <w:bookmarkEnd w:id="4"/>
      <w:r>
        <w:t>3) WCAG 2.x Overview and What’s New in 2.2</w:t>
      </w:r>
    </w:p>
    <w:p w14:paraId="73A566B3" w14:textId="77777777" w:rsidR="00BD0A58" w:rsidRDefault="00000000">
      <w:pPr>
        <w:pStyle w:val="Heading3"/>
      </w:pPr>
      <w:bookmarkStart w:id="6" w:name="wcag-principles-conformance"/>
      <w:r>
        <w:t>3.1 WCAG Principles &amp; Conformance</w:t>
      </w:r>
    </w:p>
    <w:p w14:paraId="2B61DCF6" w14:textId="77777777" w:rsidR="00BD0A58" w:rsidRDefault="00000000">
      <w:pPr>
        <w:pStyle w:val="Compact"/>
        <w:numPr>
          <w:ilvl w:val="0"/>
          <w:numId w:val="6"/>
        </w:numPr>
      </w:pPr>
      <w:r>
        <w:rPr>
          <w:b/>
          <w:bCs/>
        </w:rPr>
        <w:t>POUR</w:t>
      </w:r>
      <w:r>
        <w:t>:</w:t>
      </w:r>
    </w:p>
    <w:p w14:paraId="64668D7A" w14:textId="77777777" w:rsidR="00BD0A58" w:rsidRDefault="00000000">
      <w:pPr>
        <w:pStyle w:val="Compact"/>
        <w:numPr>
          <w:ilvl w:val="1"/>
          <w:numId w:val="7"/>
        </w:numPr>
      </w:pPr>
      <w:r>
        <w:rPr>
          <w:b/>
          <w:bCs/>
        </w:rPr>
        <w:t>Perceivable</w:t>
      </w:r>
      <w:r>
        <w:t>: content available to senses (alt text, captions, contrast, text resizing, reflow).</w:t>
      </w:r>
    </w:p>
    <w:p w14:paraId="4D4E5F6E" w14:textId="77777777" w:rsidR="00BD0A58" w:rsidRDefault="00000000">
      <w:pPr>
        <w:pStyle w:val="Compact"/>
        <w:numPr>
          <w:ilvl w:val="1"/>
          <w:numId w:val="7"/>
        </w:numPr>
      </w:pPr>
      <w:r>
        <w:rPr>
          <w:b/>
          <w:bCs/>
        </w:rPr>
        <w:t>Operable</w:t>
      </w:r>
      <w:r>
        <w:t>: keyboard access, enough time, navigable structure, safe animations, adequate target sizes.</w:t>
      </w:r>
    </w:p>
    <w:p w14:paraId="52AFDE32" w14:textId="77777777" w:rsidR="00BD0A58" w:rsidRDefault="00000000">
      <w:pPr>
        <w:pStyle w:val="Compact"/>
        <w:numPr>
          <w:ilvl w:val="1"/>
          <w:numId w:val="7"/>
        </w:numPr>
      </w:pPr>
      <w:r>
        <w:rPr>
          <w:b/>
          <w:bCs/>
        </w:rPr>
        <w:t>Understandable</w:t>
      </w:r>
      <w:r>
        <w:t>: readable language, predictable interactions, input assistance and error handling.</w:t>
      </w:r>
    </w:p>
    <w:p w14:paraId="3FEBF8D5" w14:textId="77777777" w:rsidR="00BD0A58" w:rsidRDefault="00000000">
      <w:pPr>
        <w:pStyle w:val="Compact"/>
        <w:numPr>
          <w:ilvl w:val="1"/>
          <w:numId w:val="7"/>
        </w:numPr>
      </w:pPr>
      <w:r>
        <w:rPr>
          <w:b/>
          <w:bCs/>
        </w:rPr>
        <w:t>Robust</w:t>
      </w:r>
      <w:r>
        <w:t xml:space="preserve">: compatible with assistive tech (proper </w:t>
      </w:r>
      <w:r>
        <w:rPr>
          <w:b/>
          <w:bCs/>
        </w:rPr>
        <w:t>name/role/value</w:t>
      </w:r>
      <w:r>
        <w:t>, status messages).</w:t>
      </w:r>
    </w:p>
    <w:p w14:paraId="5AB5E6F5" w14:textId="77777777" w:rsidR="00BD0A58" w:rsidRDefault="00000000">
      <w:pPr>
        <w:pStyle w:val="Compact"/>
        <w:numPr>
          <w:ilvl w:val="0"/>
          <w:numId w:val="6"/>
        </w:numPr>
      </w:pPr>
      <w:r>
        <w:rPr>
          <w:b/>
          <w:bCs/>
        </w:rPr>
        <w:t>Levels</w:t>
      </w:r>
      <w:r>
        <w:t xml:space="preserve">: </w:t>
      </w:r>
      <w:r>
        <w:rPr>
          <w:b/>
          <w:bCs/>
        </w:rPr>
        <w:t>A</w:t>
      </w:r>
      <w:r>
        <w:t xml:space="preserve">, </w:t>
      </w:r>
      <w:r>
        <w:rPr>
          <w:b/>
          <w:bCs/>
        </w:rPr>
        <w:t>AA</w:t>
      </w:r>
      <w:r>
        <w:t xml:space="preserve"> (minimum product bar), </w:t>
      </w:r>
      <w:r>
        <w:rPr>
          <w:b/>
          <w:bCs/>
        </w:rPr>
        <w:t>AAA</w:t>
      </w:r>
      <w:r>
        <w:t xml:space="preserve"> (enhanced).</w:t>
      </w:r>
    </w:p>
    <w:p w14:paraId="0F6A2E35" w14:textId="77777777" w:rsidR="00BD0A58" w:rsidRDefault="00000000">
      <w:pPr>
        <w:pStyle w:val="Compact"/>
        <w:numPr>
          <w:ilvl w:val="0"/>
          <w:numId w:val="6"/>
        </w:numPr>
      </w:pPr>
      <w:r>
        <w:rPr>
          <w:b/>
          <w:bCs/>
        </w:rPr>
        <w:t>Backwards compatibility</w:t>
      </w:r>
      <w:r>
        <w:t>: 2.2 ⊇ 2.1 ⊇ 2.0 (except 4.1.1 Parsing obsolete in 2.2).</w:t>
      </w:r>
    </w:p>
    <w:p w14:paraId="777B5BA0" w14:textId="77777777" w:rsidR="00BD0A58" w:rsidRDefault="00000000">
      <w:pPr>
        <w:pStyle w:val="Heading3"/>
      </w:pPr>
      <w:bookmarkStart w:id="7" w:name="X0a4fb11be62031b50c0d900b4f05904e394725f"/>
      <w:bookmarkEnd w:id="6"/>
      <w:r>
        <w:lastRenderedPageBreak/>
        <w:t>3.2 Selected Success Criteria to Prioritize (Level AA)</w:t>
      </w:r>
    </w:p>
    <w:p w14:paraId="5277080D" w14:textId="77777777" w:rsidR="00BD0A58" w:rsidRDefault="00000000">
      <w:pPr>
        <w:pStyle w:val="Compact"/>
        <w:numPr>
          <w:ilvl w:val="0"/>
          <w:numId w:val="8"/>
        </w:numPr>
      </w:pPr>
      <w:r>
        <w:rPr>
          <w:b/>
          <w:bCs/>
        </w:rPr>
        <w:t>1.4.3 Contrast (Minimum)</w:t>
      </w:r>
      <w:r>
        <w:t xml:space="preserve">: 4.5:1 text contrast; </w:t>
      </w:r>
      <w:r>
        <w:rPr>
          <w:b/>
          <w:bCs/>
        </w:rPr>
        <w:t>1.4.11 Non‑text Contrast</w:t>
      </w:r>
      <w:r>
        <w:t>: 3:1 for UI components &amp; graphics.</w:t>
      </w:r>
    </w:p>
    <w:p w14:paraId="3B7CCF63" w14:textId="77777777" w:rsidR="00BD0A58" w:rsidRDefault="00000000">
      <w:pPr>
        <w:pStyle w:val="Compact"/>
        <w:numPr>
          <w:ilvl w:val="0"/>
          <w:numId w:val="8"/>
        </w:numPr>
      </w:pPr>
      <w:r>
        <w:rPr>
          <w:b/>
          <w:bCs/>
        </w:rPr>
        <w:t>1.4.10 Reflow</w:t>
      </w:r>
      <w:r>
        <w:t xml:space="preserve">, </w:t>
      </w:r>
      <w:r>
        <w:rPr>
          <w:b/>
          <w:bCs/>
        </w:rPr>
        <w:t>1.4.12 Text Spacing</w:t>
      </w:r>
      <w:r>
        <w:t xml:space="preserve">, </w:t>
      </w:r>
      <w:r>
        <w:rPr>
          <w:b/>
          <w:bCs/>
        </w:rPr>
        <w:t>1.4.13 Content on Hover/Focus</w:t>
      </w:r>
      <w:r>
        <w:t>.</w:t>
      </w:r>
    </w:p>
    <w:p w14:paraId="3E2CDBB0" w14:textId="77777777" w:rsidR="00BD0A58" w:rsidRDefault="00000000">
      <w:pPr>
        <w:pStyle w:val="Compact"/>
        <w:numPr>
          <w:ilvl w:val="0"/>
          <w:numId w:val="8"/>
        </w:numPr>
      </w:pPr>
      <w:r>
        <w:rPr>
          <w:b/>
          <w:bCs/>
        </w:rPr>
        <w:t>2.1.1 Keyboard</w:t>
      </w:r>
      <w:r>
        <w:t xml:space="preserve">, </w:t>
      </w:r>
      <w:r>
        <w:rPr>
          <w:b/>
          <w:bCs/>
        </w:rPr>
        <w:t>2.1.2 No Keyboard Trap</w:t>
      </w:r>
      <w:r>
        <w:t>.</w:t>
      </w:r>
    </w:p>
    <w:p w14:paraId="59F4B6CB" w14:textId="77777777" w:rsidR="00BD0A58" w:rsidRDefault="00000000">
      <w:pPr>
        <w:pStyle w:val="Compact"/>
        <w:numPr>
          <w:ilvl w:val="0"/>
          <w:numId w:val="8"/>
        </w:numPr>
      </w:pPr>
      <w:r>
        <w:rPr>
          <w:b/>
          <w:bCs/>
        </w:rPr>
        <w:t>2.4.5 Multiple Ways</w:t>
      </w:r>
      <w:r>
        <w:t xml:space="preserve">, </w:t>
      </w:r>
      <w:r>
        <w:rPr>
          <w:b/>
          <w:bCs/>
        </w:rPr>
        <w:t>2.4.6 Headings and Labels</w:t>
      </w:r>
      <w:r>
        <w:t xml:space="preserve">, </w:t>
      </w:r>
      <w:r>
        <w:rPr>
          <w:b/>
          <w:bCs/>
        </w:rPr>
        <w:t>2.4.7 Focus Visible</w:t>
      </w:r>
      <w:r>
        <w:t>.</w:t>
      </w:r>
    </w:p>
    <w:p w14:paraId="1C156B01" w14:textId="77777777" w:rsidR="00BD0A58" w:rsidRDefault="00000000">
      <w:pPr>
        <w:pStyle w:val="Compact"/>
        <w:numPr>
          <w:ilvl w:val="0"/>
          <w:numId w:val="8"/>
        </w:numPr>
      </w:pPr>
      <w:r>
        <w:rPr>
          <w:b/>
          <w:bCs/>
        </w:rPr>
        <w:t>2.4.11–2.4.13 Focus not obscured / appearance</w:t>
      </w:r>
      <w:r>
        <w:t xml:space="preserve"> (2.2 adds focus visibility guarantees).</w:t>
      </w:r>
    </w:p>
    <w:p w14:paraId="7CB6D65B" w14:textId="77777777" w:rsidR="00BD0A58" w:rsidRDefault="00000000">
      <w:pPr>
        <w:pStyle w:val="Compact"/>
        <w:numPr>
          <w:ilvl w:val="0"/>
          <w:numId w:val="8"/>
        </w:numPr>
      </w:pPr>
      <w:r>
        <w:rPr>
          <w:b/>
          <w:bCs/>
        </w:rPr>
        <w:t>2.5.7 Dragging Movements</w:t>
      </w:r>
      <w:r>
        <w:t>: provide non‑drag alternatives.</w:t>
      </w:r>
    </w:p>
    <w:p w14:paraId="0D4A6ED4" w14:textId="77777777" w:rsidR="00BD0A58" w:rsidRDefault="00000000">
      <w:pPr>
        <w:pStyle w:val="Compact"/>
        <w:numPr>
          <w:ilvl w:val="0"/>
          <w:numId w:val="8"/>
        </w:numPr>
      </w:pPr>
      <w:r>
        <w:rPr>
          <w:b/>
          <w:bCs/>
        </w:rPr>
        <w:t>2.5.8 Target Size (Minimum)</w:t>
      </w:r>
      <w:r>
        <w:t xml:space="preserve">: at least </w:t>
      </w:r>
      <w:r>
        <w:rPr>
          <w:b/>
          <w:bCs/>
        </w:rPr>
        <w:t>24×24 CSS px</w:t>
      </w:r>
      <w:r>
        <w:t xml:space="preserve"> targets (with listed exceptions).</w:t>
      </w:r>
    </w:p>
    <w:p w14:paraId="7B8A619A" w14:textId="77777777" w:rsidR="00BD0A58" w:rsidRDefault="00000000">
      <w:pPr>
        <w:pStyle w:val="Compact"/>
        <w:numPr>
          <w:ilvl w:val="0"/>
          <w:numId w:val="8"/>
        </w:numPr>
      </w:pPr>
      <w:r>
        <w:rPr>
          <w:b/>
          <w:bCs/>
        </w:rPr>
        <w:t>3.2.6 Consistent Help</w:t>
      </w:r>
      <w:r>
        <w:t>.</w:t>
      </w:r>
    </w:p>
    <w:p w14:paraId="06CF3FB1" w14:textId="77777777" w:rsidR="00BD0A58" w:rsidRDefault="00000000">
      <w:pPr>
        <w:pStyle w:val="Compact"/>
        <w:numPr>
          <w:ilvl w:val="0"/>
          <w:numId w:val="8"/>
        </w:numPr>
      </w:pPr>
      <w:r>
        <w:rPr>
          <w:b/>
          <w:bCs/>
        </w:rPr>
        <w:t>3.3.7 Redundant Entry</w:t>
      </w:r>
      <w:r>
        <w:t xml:space="preserve">, </w:t>
      </w:r>
      <w:r>
        <w:rPr>
          <w:b/>
          <w:bCs/>
        </w:rPr>
        <w:t>3.3.8/3.3.9 Accessible Authentication</w:t>
      </w:r>
      <w:r>
        <w:t>.</w:t>
      </w:r>
    </w:p>
    <w:p w14:paraId="57CB2E9C" w14:textId="77777777" w:rsidR="00BD0A58" w:rsidRDefault="00000000">
      <w:pPr>
        <w:pStyle w:val="Compact"/>
        <w:numPr>
          <w:ilvl w:val="0"/>
          <w:numId w:val="8"/>
        </w:numPr>
      </w:pPr>
      <w:r>
        <w:rPr>
          <w:b/>
          <w:bCs/>
        </w:rPr>
        <w:t>4.1.2 Name, Role, Value</w:t>
      </w:r>
      <w:r>
        <w:t xml:space="preserve">, </w:t>
      </w:r>
      <w:r>
        <w:rPr>
          <w:b/>
          <w:bCs/>
        </w:rPr>
        <w:t>4.1.3 Status Messages</w:t>
      </w:r>
      <w:r>
        <w:t>.</w:t>
      </w:r>
    </w:p>
    <w:p w14:paraId="28C7F130" w14:textId="77777777" w:rsidR="00BD0A58" w:rsidRDefault="00000000">
      <w:pPr>
        <w:pStyle w:val="Heading3"/>
      </w:pPr>
      <w:bookmarkStart w:id="8" w:name="wcag-quick-implementation-checklist-aa"/>
      <w:bookmarkEnd w:id="7"/>
      <w:r>
        <w:t>3.3 WCAG Quick Implementation Checklist (AA)</w:t>
      </w:r>
    </w:p>
    <w:p w14:paraId="197C821A" w14:textId="77777777" w:rsidR="00BD0A58" w:rsidRDefault="00000000">
      <w:pPr>
        <w:pStyle w:val="Compact"/>
        <w:numPr>
          <w:ilvl w:val="0"/>
          <w:numId w:val="9"/>
        </w:numPr>
      </w:pPr>
      <w:r>
        <w:t xml:space="preserve">Provide </w:t>
      </w:r>
      <w:r>
        <w:rPr>
          <w:b/>
          <w:bCs/>
        </w:rPr>
        <w:t>text alternatives</w:t>
      </w:r>
      <w:r>
        <w:t xml:space="preserve"> for non‑text content.</w:t>
      </w:r>
    </w:p>
    <w:p w14:paraId="5897D3BE" w14:textId="77777777" w:rsidR="00BD0A58" w:rsidRDefault="00000000">
      <w:pPr>
        <w:pStyle w:val="Compact"/>
        <w:numPr>
          <w:ilvl w:val="0"/>
          <w:numId w:val="9"/>
        </w:numPr>
      </w:pPr>
      <w:r>
        <w:t xml:space="preserve">Ensure </w:t>
      </w:r>
      <w:r>
        <w:rPr>
          <w:b/>
          <w:bCs/>
        </w:rPr>
        <w:t>keyboard</w:t>
      </w:r>
      <w:r>
        <w:t xml:space="preserve"> accessibility &amp; visible focus; prevent traps.</w:t>
      </w:r>
    </w:p>
    <w:p w14:paraId="53A317FC" w14:textId="77777777" w:rsidR="00BD0A58" w:rsidRDefault="00000000">
      <w:pPr>
        <w:pStyle w:val="Compact"/>
        <w:numPr>
          <w:ilvl w:val="0"/>
          <w:numId w:val="9"/>
        </w:numPr>
      </w:pPr>
      <w:r>
        <w:t xml:space="preserve">Provide </w:t>
      </w:r>
      <w:r>
        <w:rPr>
          <w:b/>
          <w:bCs/>
        </w:rPr>
        <w:t>captions</w:t>
      </w:r>
      <w:r>
        <w:t xml:space="preserve"> for prerecorded and live audio in synced media; </w:t>
      </w:r>
      <w:r>
        <w:rPr>
          <w:b/>
          <w:bCs/>
        </w:rPr>
        <w:t>audio descriptions</w:t>
      </w:r>
      <w:r>
        <w:t xml:space="preserve"> for video where needed.</w:t>
      </w:r>
    </w:p>
    <w:p w14:paraId="32DBF0F8" w14:textId="77777777" w:rsidR="00BD0A58" w:rsidRDefault="00000000">
      <w:pPr>
        <w:pStyle w:val="Compact"/>
        <w:numPr>
          <w:ilvl w:val="0"/>
          <w:numId w:val="9"/>
        </w:numPr>
      </w:pPr>
      <w:r>
        <w:t xml:space="preserve">Maintain </w:t>
      </w:r>
      <w:r>
        <w:rPr>
          <w:b/>
          <w:bCs/>
        </w:rPr>
        <w:t>hierarchical headings</w:t>
      </w:r>
      <w:r>
        <w:t>, meaningful link text, page titles, and multiple ways to find content.</w:t>
      </w:r>
    </w:p>
    <w:p w14:paraId="3AB82C71" w14:textId="77777777" w:rsidR="00BD0A58" w:rsidRDefault="00000000">
      <w:pPr>
        <w:pStyle w:val="Compact"/>
        <w:numPr>
          <w:ilvl w:val="0"/>
          <w:numId w:val="9"/>
        </w:numPr>
      </w:pPr>
      <w:r>
        <w:t xml:space="preserve">Meet </w:t>
      </w:r>
      <w:r>
        <w:rPr>
          <w:b/>
          <w:bCs/>
        </w:rPr>
        <w:t>contrast</w:t>
      </w:r>
      <w:r>
        <w:t xml:space="preserve">, </w:t>
      </w:r>
      <w:r>
        <w:rPr>
          <w:b/>
          <w:bCs/>
        </w:rPr>
        <w:t>reflow</w:t>
      </w:r>
      <w:r>
        <w:t xml:space="preserve">, </w:t>
      </w:r>
      <w:r>
        <w:rPr>
          <w:b/>
          <w:bCs/>
        </w:rPr>
        <w:t>text‑spacing</w:t>
      </w:r>
      <w:r>
        <w:t xml:space="preserve">, </w:t>
      </w:r>
      <w:r>
        <w:rPr>
          <w:b/>
          <w:bCs/>
        </w:rPr>
        <w:t>hover/focus content</w:t>
      </w:r>
      <w:r>
        <w:t xml:space="preserve"> rules.</w:t>
      </w:r>
    </w:p>
    <w:p w14:paraId="468DB66E" w14:textId="77777777" w:rsidR="00BD0A58" w:rsidRDefault="00000000">
      <w:pPr>
        <w:pStyle w:val="Compact"/>
        <w:numPr>
          <w:ilvl w:val="0"/>
          <w:numId w:val="9"/>
        </w:numPr>
      </w:pPr>
      <w:r>
        <w:t xml:space="preserve">Prevent </w:t>
      </w:r>
      <w:r>
        <w:rPr>
          <w:b/>
          <w:bCs/>
        </w:rPr>
        <w:t>timing</w:t>
      </w:r>
      <w:r>
        <w:t xml:space="preserve"> issues, flashing content, and motion side effects.</w:t>
      </w:r>
    </w:p>
    <w:p w14:paraId="459C6976" w14:textId="77777777" w:rsidR="00BD0A58" w:rsidRDefault="00000000">
      <w:pPr>
        <w:pStyle w:val="Compact"/>
        <w:numPr>
          <w:ilvl w:val="0"/>
          <w:numId w:val="9"/>
        </w:numPr>
      </w:pPr>
      <w:r>
        <w:t xml:space="preserve">Provide </w:t>
      </w:r>
      <w:r>
        <w:rPr>
          <w:b/>
          <w:bCs/>
        </w:rPr>
        <w:t>labels/instructions</w:t>
      </w:r>
      <w:r>
        <w:t xml:space="preserve">, inline </w:t>
      </w:r>
      <w:r>
        <w:rPr>
          <w:b/>
          <w:bCs/>
        </w:rPr>
        <w:t>error identification</w:t>
      </w:r>
      <w:r>
        <w:t xml:space="preserve"> and </w:t>
      </w:r>
      <w:r>
        <w:rPr>
          <w:b/>
          <w:bCs/>
        </w:rPr>
        <w:t>suggestions</w:t>
      </w:r>
      <w:r>
        <w:t>, and safe transactions.</w:t>
      </w:r>
    </w:p>
    <w:p w14:paraId="1C86A2FE" w14:textId="77777777" w:rsidR="00BD0A58" w:rsidRDefault="00000000">
      <w:pPr>
        <w:pStyle w:val="Compact"/>
        <w:numPr>
          <w:ilvl w:val="0"/>
          <w:numId w:val="9"/>
        </w:numPr>
      </w:pPr>
      <w:r>
        <w:t xml:space="preserve">Implement accessible </w:t>
      </w:r>
      <w:r>
        <w:rPr>
          <w:b/>
          <w:bCs/>
        </w:rPr>
        <w:t>auth</w:t>
      </w:r>
      <w:r>
        <w:t xml:space="preserve"> (no memory or puzzle‑only hurdles; support password managers, copy‑paste, passkeys, etc.).</w:t>
      </w:r>
    </w:p>
    <w:p w14:paraId="7427BCEB" w14:textId="77777777" w:rsidR="00BD0A58" w:rsidRDefault="00000000">
      <w:pPr>
        <w:pStyle w:val="Compact"/>
        <w:numPr>
          <w:ilvl w:val="0"/>
          <w:numId w:val="9"/>
        </w:numPr>
      </w:pPr>
      <w:r>
        <w:t xml:space="preserve">Use proper </w:t>
      </w:r>
      <w:r>
        <w:rPr>
          <w:b/>
          <w:bCs/>
        </w:rPr>
        <w:t>semantics/ARIA</w:t>
      </w:r>
      <w:r>
        <w:t xml:space="preserve"> for custom widgets; expose status messages.</w:t>
      </w:r>
    </w:p>
    <w:p w14:paraId="33876AA0" w14:textId="77777777" w:rsidR="00BD0A58" w:rsidRDefault="00B30C10">
      <w:r>
        <w:rPr>
          <w:noProof/>
        </w:rPr>
        <w:pict w14:anchorId="79CCAA94">
          <v:rect id="_x0000_i1038" alt="" style="width:468pt;height:.05pt;mso-width-percent:0;mso-height-percent:0;mso-width-percent:0;mso-height-percent:0" o:hralign="center" o:hrstd="t" o:hr="t"/>
        </w:pict>
      </w:r>
    </w:p>
    <w:p w14:paraId="6D123B23" w14:textId="77777777" w:rsidR="00BD0A58" w:rsidRDefault="00000000">
      <w:pPr>
        <w:pStyle w:val="Heading2"/>
      </w:pPr>
      <w:bookmarkStart w:id="9" w:name="X63c86ec02e9f35d390506850e63f0a31d5d415b"/>
      <w:bookmarkEnd w:id="5"/>
      <w:bookmarkEnd w:id="8"/>
      <w:r>
        <w:t>4) Don Norman’s Interaction Model (Action Cycle) and Seven Questions</w:t>
      </w:r>
    </w:p>
    <w:p w14:paraId="6F73A4B3" w14:textId="77777777" w:rsidR="00BD0A58" w:rsidRDefault="00000000">
      <w:pPr>
        <w:pStyle w:val="Compact"/>
        <w:numPr>
          <w:ilvl w:val="0"/>
          <w:numId w:val="10"/>
        </w:numPr>
      </w:pPr>
      <w:r>
        <w:rPr>
          <w:b/>
          <w:bCs/>
        </w:rPr>
        <w:t>Gulfs of Execution &amp; Evaluation</w:t>
      </w:r>
      <w:r>
        <w:t xml:space="preserve">: users must figure out </w:t>
      </w:r>
      <w:r>
        <w:rPr>
          <w:b/>
          <w:bCs/>
        </w:rPr>
        <w:t>how</w:t>
      </w:r>
      <w:r>
        <w:t xml:space="preserve"> to act and </w:t>
      </w:r>
      <w:r>
        <w:rPr>
          <w:b/>
          <w:bCs/>
        </w:rPr>
        <w:t>what happened</w:t>
      </w:r>
      <w:r>
        <w:t xml:space="preserve"> after acting.</w:t>
      </w:r>
    </w:p>
    <w:p w14:paraId="428251F3" w14:textId="77777777" w:rsidR="00BD0A58" w:rsidRDefault="00000000">
      <w:pPr>
        <w:pStyle w:val="Compact"/>
        <w:numPr>
          <w:ilvl w:val="0"/>
          <w:numId w:val="10"/>
        </w:numPr>
      </w:pPr>
      <w:r>
        <w:rPr>
          <w:b/>
          <w:bCs/>
        </w:rPr>
        <w:t>Seven Stages of Action</w:t>
      </w:r>
      <w:r>
        <w:t xml:space="preserve">: Goal → Plan → Specify → Perform → Perceive → Interpret → Compare. Use as a </w:t>
      </w:r>
      <w:r>
        <w:rPr>
          <w:b/>
          <w:bCs/>
        </w:rPr>
        <w:t>design checklist</w:t>
      </w:r>
      <w:r>
        <w:t>.</w:t>
      </w:r>
    </w:p>
    <w:p w14:paraId="1C8EB8E9" w14:textId="77777777" w:rsidR="00BD0A58" w:rsidRDefault="00000000">
      <w:pPr>
        <w:pStyle w:val="Compact"/>
        <w:numPr>
          <w:ilvl w:val="0"/>
          <w:numId w:val="10"/>
        </w:numPr>
      </w:pPr>
      <w:r>
        <w:rPr>
          <w:b/>
          <w:bCs/>
        </w:rPr>
        <w:t>Three Levels of Processing</w:t>
      </w:r>
      <w:r>
        <w:t>:</w:t>
      </w:r>
    </w:p>
    <w:p w14:paraId="2A58901F" w14:textId="77777777" w:rsidR="00BD0A58" w:rsidRDefault="00000000">
      <w:pPr>
        <w:pStyle w:val="Compact"/>
        <w:numPr>
          <w:ilvl w:val="1"/>
          <w:numId w:val="11"/>
        </w:numPr>
      </w:pPr>
      <w:r>
        <w:rPr>
          <w:b/>
          <w:bCs/>
        </w:rPr>
        <w:t>Visceral</w:t>
      </w:r>
      <w:r>
        <w:t xml:space="preserve"> (look/feel first impressions),</w:t>
      </w:r>
    </w:p>
    <w:p w14:paraId="229DC80F" w14:textId="77777777" w:rsidR="00BD0A58" w:rsidRDefault="00000000">
      <w:pPr>
        <w:pStyle w:val="Compact"/>
        <w:numPr>
          <w:ilvl w:val="1"/>
          <w:numId w:val="11"/>
        </w:numPr>
      </w:pPr>
      <w:r>
        <w:rPr>
          <w:b/>
          <w:bCs/>
        </w:rPr>
        <w:t>Behavioral</w:t>
      </w:r>
      <w:r>
        <w:t xml:space="preserve"> (usability vs. expectations),</w:t>
      </w:r>
    </w:p>
    <w:p w14:paraId="1A10B647" w14:textId="77777777" w:rsidR="00BD0A58" w:rsidRDefault="00000000">
      <w:pPr>
        <w:pStyle w:val="Compact"/>
        <w:numPr>
          <w:ilvl w:val="1"/>
          <w:numId w:val="11"/>
        </w:numPr>
      </w:pPr>
      <w:r>
        <w:rPr>
          <w:b/>
          <w:bCs/>
        </w:rPr>
        <w:lastRenderedPageBreak/>
        <w:t>Reflective</w:t>
      </w:r>
      <w:r>
        <w:t xml:space="preserve"> (meaning, value, delight/anger).</w:t>
      </w:r>
    </w:p>
    <w:p w14:paraId="0E2D7892" w14:textId="77777777" w:rsidR="00BD0A58" w:rsidRDefault="00000000">
      <w:pPr>
        <w:pStyle w:val="FirstParagraph"/>
      </w:pPr>
      <w:r>
        <w:rPr>
          <w:b/>
          <w:bCs/>
        </w:rPr>
        <w:t>Design implications</w:t>
      </w:r>
      <w:r>
        <w:t xml:space="preserve"> - Reduce the gulfs with clear </w:t>
      </w:r>
      <w:r>
        <w:rPr>
          <w:b/>
          <w:bCs/>
        </w:rPr>
        <w:t>signifiers</w:t>
      </w:r>
      <w:r>
        <w:t xml:space="preserve">, good </w:t>
      </w:r>
      <w:r>
        <w:rPr>
          <w:b/>
          <w:bCs/>
        </w:rPr>
        <w:t>mappings</w:t>
      </w:r>
      <w:r>
        <w:t xml:space="preserve">, instant </w:t>
      </w:r>
      <w:r>
        <w:rPr>
          <w:b/>
          <w:bCs/>
        </w:rPr>
        <w:t>feedback</w:t>
      </w:r>
      <w:r>
        <w:t xml:space="preserve">, and sound </w:t>
      </w:r>
      <w:r>
        <w:rPr>
          <w:b/>
          <w:bCs/>
        </w:rPr>
        <w:t>conceptual models</w:t>
      </w:r>
      <w:r>
        <w:t>. - Support all three processing levels: aesthetic clarity (visceral), fluent task flows (behavioral), and trust/brand meaning (reflective).</w:t>
      </w:r>
    </w:p>
    <w:p w14:paraId="0177240D" w14:textId="77777777" w:rsidR="00BD0A58" w:rsidRDefault="00B30C10">
      <w:r>
        <w:rPr>
          <w:noProof/>
        </w:rPr>
        <w:pict w14:anchorId="3F14A346">
          <v:rect id="_x0000_i1037" alt="" style="width:468pt;height:.05pt;mso-width-percent:0;mso-height-percent:0;mso-width-percent:0;mso-height-percent:0" o:hralign="center" o:hrstd="t" o:hr="t"/>
        </w:pict>
      </w:r>
    </w:p>
    <w:p w14:paraId="52AEC43D" w14:textId="77777777" w:rsidR="00BD0A58" w:rsidRDefault="00000000">
      <w:pPr>
        <w:pStyle w:val="Heading2"/>
      </w:pPr>
      <w:bookmarkStart w:id="10" w:name="Xab05520fe1aca4948e70cf80c2b0a2caf963cab"/>
      <w:bookmarkEnd w:id="9"/>
      <w:r>
        <w:t>5) Nielsen’s 10 Usability Heuristics (Updated 2024)</w:t>
      </w:r>
    </w:p>
    <w:p w14:paraId="15AB36E0" w14:textId="77777777" w:rsidR="00BD0A58" w:rsidRDefault="00000000">
      <w:pPr>
        <w:pStyle w:val="Compact"/>
        <w:numPr>
          <w:ilvl w:val="0"/>
          <w:numId w:val="12"/>
        </w:numPr>
      </w:pPr>
      <w:r>
        <w:rPr>
          <w:b/>
          <w:bCs/>
        </w:rPr>
        <w:t>Visibility of system status</w:t>
      </w:r>
      <w:r>
        <w:t xml:space="preserve"> – timely, clear feedback.</w:t>
      </w:r>
    </w:p>
    <w:p w14:paraId="6464DEBA" w14:textId="77777777" w:rsidR="00BD0A58" w:rsidRDefault="00000000">
      <w:pPr>
        <w:pStyle w:val="Compact"/>
        <w:numPr>
          <w:ilvl w:val="0"/>
          <w:numId w:val="12"/>
        </w:numPr>
      </w:pPr>
      <w:r>
        <w:rPr>
          <w:b/>
          <w:bCs/>
        </w:rPr>
        <w:t>Match between system and real world</w:t>
      </w:r>
      <w:r>
        <w:t xml:space="preserve"> – users’ language and mental models; natural mapping.</w:t>
      </w:r>
    </w:p>
    <w:p w14:paraId="0CC17DFC" w14:textId="77777777" w:rsidR="00BD0A58" w:rsidRDefault="00000000">
      <w:pPr>
        <w:pStyle w:val="Compact"/>
        <w:numPr>
          <w:ilvl w:val="0"/>
          <w:numId w:val="12"/>
        </w:numPr>
      </w:pPr>
      <w:r>
        <w:rPr>
          <w:b/>
          <w:bCs/>
        </w:rPr>
        <w:t>User control and freedom</w:t>
      </w:r>
      <w:r>
        <w:t xml:space="preserve"> – easy </w:t>
      </w:r>
      <w:r>
        <w:rPr>
          <w:b/>
          <w:bCs/>
        </w:rPr>
        <w:t>undo/redo</w:t>
      </w:r>
      <w:r>
        <w:t xml:space="preserve">, clear </w:t>
      </w:r>
      <w:r>
        <w:rPr>
          <w:b/>
          <w:bCs/>
        </w:rPr>
        <w:t>exits</w:t>
      </w:r>
      <w:r>
        <w:t>.</w:t>
      </w:r>
    </w:p>
    <w:p w14:paraId="760ADC0C" w14:textId="77777777" w:rsidR="00BD0A58" w:rsidRDefault="00000000">
      <w:pPr>
        <w:pStyle w:val="Compact"/>
        <w:numPr>
          <w:ilvl w:val="0"/>
          <w:numId w:val="12"/>
        </w:numPr>
      </w:pPr>
      <w:r>
        <w:rPr>
          <w:b/>
          <w:bCs/>
        </w:rPr>
        <w:t>Consistency and standards</w:t>
      </w:r>
      <w:r>
        <w:t xml:space="preserve"> – internal &amp; external (platform/web) consistency.</w:t>
      </w:r>
    </w:p>
    <w:p w14:paraId="19A8BEB5" w14:textId="77777777" w:rsidR="00BD0A58" w:rsidRDefault="00000000">
      <w:pPr>
        <w:pStyle w:val="Compact"/>
        <w:numPr>
          <w:ilvl w:val="0"/>
          <w:numId w:val="12"/>
        </w:numPr>
      </w:pPr>
      <w:r>
        <w:rPr>
          <w:b/>
          <w:bCs/>
        </w:rPr>
        <w:t>Error prevention</w:t>
      </w:r>
      <w:r>
        <w:t xml:space="preserve"> – guardrails, safe defaults, confirmations.</w:t>
      </w:r>
    </w:p>
    <w:p w14:paraId="79A8F374" w14:textId="77777777" w:rsidR="00BD0A58" w:rsidRDefault="00000000">
      <w:pPr>
        <w:pStyle w:val="Compact"/>
        <w:numPr>
          <w:ilvl w:val="0"/>
          <w:numId w:val="12"/>
        </w:numPr>
      </w:pPr>
      <w:r>
        <w:rPr>
          <w:b/>
          <w:bCs/>
        </w:rPr>
        <w:t>Recognition rather than recall</w:t>
      </w:r>
      <w:r>
        <w:t xml:space="preserve"> – keep options visible; reduce memory load.</w:t>
      </w:r>
    </w:p>
    <w:p w14:paraId="619090D7" w14:textId="77777777" w:rsidR="00BD0A58" w:rsidRDefault="00000000">
      <w:pPr>
        <w:pStyle w:val="Compact"/>
        <w:numPr>
          <w:ilvl w:val="0"/>
          <w:numId w:val="12"/>
        </w:numPr>
      </w:pPr>
      <w:r>
        <w:rPr>
          <w:b/>
          <w:bCs/>
        </w:rPr>
        <w:t>Flexibility and efficiency</w:t>
      </w:r>
      <w:r>
        <w:t xml:space="preserve"> – shortcuts for experts; personalization &amp; customization.</w:t>
      </w:r>
    </w:p>
    <w:p w14:paraId="021170EF" w14:textId="77777777" w:rsidR="00BD0A58" w:rsidRDefault="00000000">
      <w:pPr>
        <w:pStyle w:val="Compact"/>
        <w:numPr>
          <w:ilvl w:val="0"/>
          <w:numId w:val="12"/>
        </w:numPr>
      </w:pPr>
      <w:r>
        <w:rPr>
          <w:b/>
          <w:bCs/>
        </w:rPr>
        <w:t>Aesthetic and minimalist design</w:t>
      </w:r>
      <w:r>
        <w:t xml:space="preserve"> – focus on essentials; avoid distraction.</w:t>
      </w:r>
    </w:p>
    <w:p w14:paraId="722638B8" w14:textId="77777777" w:rsidR="00BD0A58" w:rsidRDefault="00000000">
      <w:pPr>
        <w:pStyle w:val="Compact"/>
        <w:numPr>
          <w:ilvl w:val="0"/>
          <w:numId w:val="12"/>
        </w:numPr>
      </w:pPr>
      <w:r>
        <w:rPr>
          <w:b/>
          <w:bCs/>
        </w:rPr>
        <w:t>Help users recognize, diagnose, recover</w:t>
      </w:r>
      <w:r>
        <w:t xml:space="preserve"> – plain‑language errors + fixes.</w:t>
      </w:r>
    </w:p>
    <w:p w14:paraId="3F5AD804" w14:textId="77777777" w:rsidR="00BD0A58" w:rsidRDefault="00000000">
      <w:pPr>
        <w:pStyle w:val="Compact"/>
        <w:numPr>
          <w:ilvl w:val="0"/>
          <w:numId w:val="12"/>
        </w:numPr>
      </w:pPr>
      <w:r>
        <w:rPr>
          <w:b/>
          <w:bCs/>
        </w:rPr>
        <w:t>Help and documentation</w:t>
      </w:r>
      <w:r>
        <w:t xml:space="preserve"> – searchable, in‑context, task‑oriented help.</w:t>
      </w:r>
    </w:p>
    <w:p w14:paraId="1B1DF4E3" w14:textId="77777777" w:rsidR="00BD0A58" w:rsidRDefault="00000000">
      <w:pPr>
        <w:pStyle w:val="FirstParagraph"/>
      </w:pPr>
      <w:r>
        <w:rPr>
          <w:b/>
          <w:bCs/>
        </w:rPr>
        <w:t>Heuristics ↔ WCAG mapping (examples)</w:t>
      </w:r>
      <w:r>
        <w:t xml:space="preserve"> - H1 ↔ WCAG </w:t>
      </w:r>
      <w:r>
        <w:rPr>
          <w:b/>
          <w:bCs/>
        </w:rPr>
        <w:t>4.1.3</w:t>
      </w:r>
      <w:r>
        <w:t xml:space="preserve"> (status messages), </w:t>
      </w:r>
      <w:r>
        <w:rPr>
          <w:b/>
          <w:bCs/>
        </w:rPr>
        <w:t>2.4.x</w:t>
      </w:r>
      <w:r>
        <w:t xml:space="preserve"> (location/focus clarity). - H3 ↔ WCAG </w:t>
      </w:r>
      <w:r>
        <w:rPr>
          <w:b/>
          <w:bCs/>
        </w:rPr>
        <w:t>3.3.4</w:t>
      </w:r>
      <w:r>
        <w:t xml:space="preserve"> (transaction safety), </w:t>
      </w:r>
      <w:r>
        <w:rPr>
          <w:b/>
          <w:bCs/>
        </w:rPr>
        <w:t>2.2.x</w:t>
      </w:r>
      <w:r>
        <w:t xml:space="preserve"> (timing controls). - H5/9 ↔ WCAG </w:t>
      </w:r>
      <w:r>
        <w:rPr>
          <w:b/>
          <w:bCs/>
        </w:rPr>
        <w:t>3.3.1–3.3.3</w:t>
      </w:r>
      <w:r>
        <w:t xml:space="preserve"> (errors, labels, suggestions). - H6 ↔ WCAG </w:t>
      </w:r>
      <w:r>
        <w:rPr>
          <w:b/>
          <w:bCs/>
        </w:rPr>
        <w:t>2.4.4</w:t>
      </w:r>
      <w:r>
        <w:t xml:space="preserve"> (link purpose), </w:t>
      </w:r>
      <w:r>
        <w:rPr>
          <w:b/>
          <w:bCs/>
        </w:rPr>
        <w:t>1.3.x</w:t>
      </w:r>
      <w:r>
        <w:t xml:space="preserve"> (programmatic relationships). - H8 ↔ WCAG </w:t>
      </w:r>
      <w:r>
        <w:rPr>
          <w:b/>
          <w:bCs/>
        </w:rPr>
        <w:t>1.4.x</w:t>
      </w:r>
      <w:r>
        <w:t xml:space="preserve"> (contrast, clutter reduction).</w:t>
      </w:r>
    </w:p>
    <w:p w14:paraId="67485D5D" w14:textId="77777777" w:rsidR="00BD0A58" w:rsidRDefault="00B30C10">
      <w:r>
        <w:rPr>
          <w:noProof/>
        </w:rPr>
        <w:pict w14:anchorId="4AD8954C">
          <v:rect id="_x0000_i1036" alt="" style="width:468pt;height:.05pt;mso-width-percent:0;mso-height-percent:0;mso-width-percent:0;mso-height-percent:0" o:hralign="center" o:hrstd="t" o:hr="t"/>
        </w:pict>
      </w:r>
    </w:p>
    <w:p w14:paraId="5E329BC4" w14:textId="77777777" w:rsidR="00BD0A58" w:rsidRDefault="00000000">
      <w:pPr>
        <w:pStyle w:val="Heading2"/>
      </w:pPr>
      <w:bookmarkStart w:id="11" w:name="X9c561b2c4021e4c69487d6bfd78189713d1cf1d"/>
      <w:bookmarkEnd w:id="10"/>
      <w:r>
        <w:t>6) How to Run a Heuristic Evaluation (Process Notes)</w:t>
      </w:r>
    </w:p>
    <w:p w14:paraId="568E8605" w14:textId="77777777" w:rsidR="00BD0A58" w:rsidRDefault="00000000">
      <w:pPr>
        <w:pStyle w:val="FirstParagraph"/>
      </w:pPr>
      <w:r>
        <w:rPr>
          <w:b/>
          <w:bCs/>
        </w:rPr>
        <w:t>When</w:t>
      </w:r>
      <w:r>
        <w:t>: early and iteratively; complements user research.</w:t>
      </w:r>
    </w:p>
    <w:p w14:paraId="34B84329" w14:textId="77777777" w:rsidR="00BD0A58" w:rsidRDefault="00000000">
      <w:pPr>
        <w:pStyle w:val="BodyText"/>
      </w:pPr>
      <w:r>
        <w:rPr>
          <w:b/>
          <w:bCs/>
        </w:rPr>
        <w:t>Team</w:t>
      </w:r>
      <w:r>
        <w:t>: 3–5 independent evaluators (to reduce individual blind spots). Train on heuristics; do a practice round.</w:t>
      </w:r>
    </w:p>
    <w:p w14:paraId="1BF55177" w14:textId="77777777" w:rsidR="00BD0A58" w:rsidRDefault="00000000">
      <w:pPr>
        <w:pStyle w:val="BodyText"/>
      </w:pPr>
      <w:r>
        <w:rPr>
          <w:b/>
          <w:bCs/>
        </w:rPr>
        <w:t>Scope</w:t>
      </w:r>
      <w:r>
        <w:t>: start narrow (one task, role, or device).</w:t>
      </w:r>
    </w:p>
    <w:p w14:paraId="2D430657" w14:textId="77777777" w:rsidR="00BD0A58" w:rsidRDefault="00000000">
      <w:pPr>
        <w:pStyle w:val="BodyText"/>
      </w:pPr>
      <w:r>
        <w:rPr>
          <w:b/>
          <w:bCs/>
        </w:rPr>
        <w:t>Steps</w:t>
      </w:r>
      <w:r>
        <w:t xml:space="preserve"> 1) </w:t>
      </w:r>
      <w:r>
        <w:rPr>
          <w:b/>
          <w:bCs/>
        </w:rPr>
        <w:t>Prepare</w:t>
      </w:r>
      <w:r>
        <w:t xml:space="preserve">: choose heuristics (Nielsen 10 + domain‑specific if needed); define scope; set up capture template (workbook, spreadsheet, or whiteboard). Ensure </w:t>
      </w:r>
      <w:r>
        <w:rPr>
          <w:b/>
          <w:bCs/>
        </w:rPr>
        <w:t>independent</w:t>
      </w:r>
      <w:r>
        <w:t xml:space="preserve"> workspaces to avoid bias. 2) </w:t>
      </w:r>
      <w:r>
        <w:rPr>
          <w:b/>
          <w:bCs/>
        </w:rPr>
        <w:t>Evaluate independently</w:t>
      </w:r>
      <w:r>
        <w:t xml:space="preserve"> (1–2 hours): first pass to familiarize; second pass to log issues under specific heuristics with </w:t>
      </w:r>
      <w:r>
        <w:rPr>
          <w:b/>
          <w:bCs/>
        </w:rPr>
        <w:t>issue + recommendation</w:t>
      </w:r>
      <w:r>
        <w:t xml:space="preserve">. 3) </w:t>
      </w:r>
      <w:r>
        <w:rPr>
          <w:b/>
          <w:bCs/>
        </w:rPr>
        <w:t>Synthesize</w:t>
      </w:r>
      <w:r>
        <w:t>: affinity cluster, de‑dupe, prioritize by severity/user impact/business risk; flag items needing user validation; translate into backlog items.</w:t>
      </w:r>
    </w:p>
    <w:p w14:paraId="7F5715B6" w14:textId="77777777" w:rsidR="00BD0A58" w:rsidRDefault="00000000">
      <w:pPr>
        <w:pStyle w:val="BodyText"/>
      </w:pPr>
      <w:r>
        <w:rPr>
          <w:b/>
          <w:bCs/>
        </w:rPr>
        <w:t>Notes</w:t>
      </w:r>
      <w:r>
        <w:t xml:space="preserve"> - Heuristics are </w:t>
      </w:r>
      <w:r>
        <w:rPr>
          <w:b/>
          <w:bCs/>
        </w:rPr>
        <w:t>guidelines, not laws</w:t>
      </w:r>
      <w:r>
        <w:t>; context sometimes justifies exceptions—verify with users.</w:t>
      </w:r>
    </w:p>
    <w:p w14:paraId="4AE8ECB7" w14:textId="77777777" w:rsidR="00BD0A58" w:rsidRDefault="00B30C10">
      <w:r>
        <w:rPr>
          <w:noProof/>
        </w:rPr>
        <w:lastRenderedPageBreak/>
        <w:pict w14:anchorId="61DFC9BF">
          <v:rect id="_x0000_i1035" alt="" style="width:468pt;height:.05pt;mso-width-percent:0;mso-height-percent:0;mso-width-percent:0;mso-height-percent:0" o:hralign="center" o:hrstd="t" o:hr="t"/>
        </w:pict>
      </w:r>
    </w:p>
    <w:p w14:paraId="64CDFD39" w14:textId="77777777" w:rsidR="00BD0A58" w:rsidRDefault="00000000">
      <w:pPr>
        <w:pStyle w:val="Heading2"/>
      </w:pPr>
      <w:bookmarkStart w:id="12" w:name="Xd33b975d6baa04431efac374d3afef5c8b824c0"/>
      <w:bookmarkEnd w:id="11"/>
      <w:r>
        <w:t>7) Usability Testing 101 (Purpose, Elements, Types, Cost)</w:t>
      </w:r>
    </w:p>
    <w:p w14:paraId="4D785E41" w14:textId="77777777" w:rsidR="00BD0A58" w:rsidRDefault="00000000">
      <w:pPr>
        <w:pStyle w:val="FirstParagraph"/>
      </w:pPr>
      <w:r>
        <w:rPr>
          <w:b/>
          <w:bCs/>
        </w:rPr>
        <w:t>Why</w:t>
      </w:r>
      <w:r>
        <w:t>: reveal problems/opportunities, learn behaviors/preferences; no team designs a great UX without observing real users.</w:t>
      </w:r>
    </w:p>
    <w:p w14:paraId="1DC4C8B2" w14:textId="77777777" w:rsidR="00BD0A58" w:rsidRDefault="00000000">
      <w:pPr>
        <w:pStyle w:val="BodyText"/>
      </w:pPr>
      <w:r>
        <w:rPr>
          <w:b/>
          <w:bCs/>
        </w:rPr>
        <w:t>Core elements</w:t>
      </w:r>
      <w:r>
        <w:t xml:space="preserve"> - </w:t>
      </w:r>
      <w:r>
        <w:rPr>
          <w:b/>
          <w:bCs/>
        </w:rPr>
        <w:t>Facilitator</w:t>
      </w:r>
      <w:r>
        <w:t xml:space="preserve"> (neutral, trained), </w:t>
      </w:r>
      <w:r>
        <w:rPr>
          <w:b/>
          <w:bCs/>
        </w:rPr>
        <w:t>participant</w:t>
      </w:r>
      <w:r>
        <w:t xml:space="preserve"> (realistic target user), </w:t>
      </w:r>
      <w:r>
        <w:rPr>
          <w:b/>
          <w:bCs/>
        </w:rPr>
        <w:t>tasks</w:t>
      </w:r>
      <w:r>
        <w:t xml:space="preserve"> (realistic, well‑worded, non‑leading). Encourage </w:t>
      </w:r>
      <w:r>
        <w:rPr>
          <w:b/>
          <w:bCs/>
        </w:rPr>
        <w:t>think‑aloud</w:t>
      </w:r>
      <w:r>
        <w:t>.</w:t>
      </w:r>
    </w:p>
    <w:p w14:paraId="2154096A" w14:textId="77777777" w:rsidR="00BD0A58" w:rsidRDefault="00000000">
      <w:pPr>
        <w:pStyle w:val="BodyText"/>
      </w:pPr>
      <w:r>
        <w:rPr>
          <w:b/>
          <w:bCs/>
        </w:rPr>
        <w:t>Study types</w:t>
      </w:r>
      <w:r>
        <w:t xml:space="preserve"> - </w:t>
      </w:r>
      <w:r>
        <w:rPr>
          <w:b/>
          <w:bCs/>
        </w:rPr>
        <w:t>Qualitative</w:t>
      </w:r>
      <w:r>
        <w:t xml:space="preserve"> (find issues) vs. </w:t>
      </w:r>
      <w:r>
        <w:rPr>
          <w:b/>
          <w:bCs/>
        </w:rPr>
        <w:t>Quantitative</w:t>
      </w:r>
      <w:r>
        <w:t xml:space="preserve"> (measure metrics: success, time‑on‑task, satisfaction). Sample sizes differ (e.g., ~5 per group for qualitative discovery; larger for quant studies). - </w:t>
      </w:r>
      <w:r>
        <w:rPr>
          <w:b/>
          <w:bCs/>
        </w:rPr>
        <w:t>Remote</w:t>
      </w:r>
      <w:r>
        <w:t xml:space="preserve"> (moderated/unmoderated) vs. </w:t>
      </w:r>
      <w:r>
        <w:rPr>
          <w:b/>
          <w:bCs/>
        </w:rPr>
        <w:t>In‑person</w:t>
      </w:r>
      <w:r>
        <w:t>. Remote lowers cost; in‑person yields richer nonverbal cues.</w:t>
      </w:r>
    </w:p>
    <w:p w14:paraId="2FF9FC8D" w14:textId="77777777" w:rsidR="00BD0A58" w:rsidRDefault="00000000">
      <w:pPr>
        <w:pStyle w:val="BodyText"/>
      </w:pPr>
      <w:r>
        <w:rPr>
          <w:b/>
          <w:bCs/>
        </w:rPr>
        <w:t>Cost/effort</w:t>
      </w:r>
      <w:r>
        <w:t xml:space="preserve"> (discount approach) - Plan (day 1), test 5 users (day 2), analyze &amp; recommend (day 3). Scale up for competitive, international, multi‑persona, or instrumented (e.g., eye‑tracking) studies.</w:t>
      </w:r>
    </w:p>
    <w:p w14:paraId="245A8D48" w14:textId="77777777" w:rsidR="00BD0A58" w:rsidRDefault="00000000">
      <w:pPr>
        <w:pStyle w:val="BodyText"/>
      </w:pPr>
      <w:r>
        <w:rPr>
          <w:b/>
          <w:bCs/>
        </w:rPr>
        <w:t>Good practice</w:t>
      </w:r>
      <w:r>
        <w:t xml:space="preserve"> - Pilot your tasks, avoid priming, read tasks aloud, capture behavioral and attitudinal data, and tie findings to actionable design changes.</w:t>
      </w:r>
    </w:p>
    <w:p w14:paraId="40EAD7C0" w14:textId="77777777" w:rsidR="00BD0A58" w:rsidRDefault="00B30C10">
      <w:r>
        <w:rPr>
          <w:noProof/>
        </w:rPr>
        <w:pict w14:anchorId="2D944AED">
          <v:rect id="_x0000_i1034" alt="" style="width:468pt;height:.05pt;mso-width-percent:0;mso-height-percent:0;mso-width-percent:0;mso-height-percent:0" o:hralign="center" o:hrstd="t" o:hr="t"/>
        </w:pict>
      </w:r>
    </w:p>
    <w:p w14:paraId="0C63BD5D" w14:textId="77777777" w:rsidR="00BD0A58" w:rsidRDefault="00000000">
      <w:pPr>
        <w:pStyle w:val="Heading2"/>
      </w:pPr>
      <w:bookmarkStart w:id="13" w:name="X5bce571c8de555216704e5761c98e72ac87680e"/>
      <w:bookmarkEnd w:id="12"/>
      <w:r>
        <w:t>8) Usability Testing Methods (Landscape &amp; When to Use)</w:t>
      </w:r>
    </w:p>
    <w:p w14:paraId="69645FBD" w14:textId="77777777" w:rsidR="00BD0A58" w:rsidRDefault="00000000">
      <w:pPr>
        <w:pStyle w:val="FirstParagraph"/>
      </w:pPr>
      <w:r>
        <w:rPr>
          <w:b/>
          <w:bCs/>
        </w:rPr>
        <w:t>Moderated, in‑person</w:t>
      </w:r>
      <w:r>
        <w:t xml:space="preserve"> - </w:t>
      </w:r>
      <w:r>
        <w:rPr>
          <w:b/>
          <w:bCs/>
        </w:rPr>
        <w:t>Lab testing</w:t>
      </w:r>
      <w:r>
        <w:t xml:space="preserve">: maximum control/standardization; small N; higher cost. - </w:t>
      </w:r>
      <w:r>
        <w:rPr>
          <w:b/>
          <w:bCs/>
        </w:rPr>
        <w:t>Guerrilla testing</w:t>
      </w:r>
      <w:r>
        <w:t>: quick, broad, low‑cost pulse checks in public spaces; shallow depth.</w:t>
      </w:r>
    </w:p>
    <w:p w14:paraId="4AB9D663" w14:textId="77777777" w:rsidR="00BD0A58" w:rsidRDefault="00000000">
      <w:pPr>
        <w:pStyle w:val="BodyText"/>
      </w:pPr>
      <w:r>
        <w:rPr>
          <w:b/>
          <w:bCs/>
        </w:rPr>
        <w:t>Moderated, remote</w:t>
      </w:r>
      <w:r>
        <w:t xml:space="preserve"> - </w:t>
      </w:r>
      <w:r>
        <w:rPr>
          <w:b/>
          <w:bCs/>
        </w:rPr>
        <w:t>Remote sessions</w:t>
      </w:r>
      <w:r>
        <w:t xml:space="preserve"> (video/screen‑share); good breadth with depth; economical. - </w:t>
      </w:r>
      <w:r>
        <w:rPr>
          <w:b/>
          <w:bCs/>
        </w:rPr>
        <w:t>Moderator‑led card sorting</w:t>
      </w:r>
      <w:r>
        <w:t xml:space="preserve"> (for IA hypotheses).</w:t>
      </w:r>
    </w:p>
    <w:p w14:paraId="5662700D" w14:textId="77777777" w:rsidR="00BD0A58" w:rsidRDefault="00000000">
      <w:pPr>
        <w:pStyle w:val="BodyText"/>
      </w:pPr>
      <w:r>
        <w:rPr>
          <w:b/>
          <w:bCs/>
        </w:rPr>
        <w:t>Unmoderated, remote</w:t>
      </w:r>
      <w:r>
        <w:t xml:space="preserve"> - </w:t>
      </w:r>
      <w:r>
        <w:rPr>
          <w:b/>
          <w:bCs/>
        </w:rPr>
        <w:t>Session replays/analytics</w:t>
      </w:r>
      <w:r>
        <w:t xml:space="preserve">: observe real behaviors at scale; find friction/replays of errors. - </w:t>
      </w:r>
      <w:r>
        <w:rPr>
          <w:b/>
          <w:bCs/>
        </w:rPr>
        <w:t>5‑second tests</w:t>
      </w:r>
      <w:r>
        <w:t xml:space="preserve">: first‑impression clarity. - </w:t>
      </w:r>
      <w:r>
        <w:rPr>
          <w:b/>
          <w:bCs/>
        </w:rPr>
        <w:t>Unmoderated card sorting</w:t>
      </w:r>
      <w:r>
        <w:t xml:space="preserve">; </w:t>
      </w:r>
      <w:r>
        <w:rPr>
          <w:b/>
          <w:bCs/>
        </w:rPr>
        <w:t>first‑click tests</w:t>
      </w:r>
      <w:r>
        <w:t>: navigation expectation checks.</w:t>
      </w:r>
    </w:p>
    <w:p w14:paraId="197185A1" w14:textId="77777777" w:rsidR="00BD0A58" w:rsidRDefault="00000000">
      <w:pPr>
        <w:pStyle w:val="BodyText"/>
      </w:pPr>
      <w:r>
        <w:rPr>
          <w:b/>
          <w:bCs/>
        </w:rPr>
        <w:t>Unmoderated, in‑person</w:t>
      </w:r>
      <w:r>
        <w:t xml:space="preserve"> - </w:t>
      </w:r>
      <w:r>
        <w:rPr>
          <w:b/>
          <w:bCs/>
        </w:rPr>
        <w:t>Observation fly‑on‑the‑wall</w:t>
      </w:r>
      <w:r>
        <w:t xml:space="preserve"> with scripted tasks. - </w:t>
      </w:r>
      <w:r>
        <w:rPr>
          <w:b/>
          <w:bCs/>
        </w:rPr>
        <w:t>Eye‑tracking</w:t>
      </w:r>
      <w:r>
        <w:t xml:space="preserve"> (heatmaps, scanpaths) — powerful but costly; use selectively.</w:t>
      </w:r>
    </w:p>
    <w:p w14:paraId="33204256" w14:textId="77777777" w:rsidR="00BD0A58" w:rsidRDefault="00000000">
      <w:pPr>
        <w:pStyle w:val="BodyText"/>
      </w:pPr>
      <w:r>
        <w:rPr>
          <w:b/>
          <w:bCs/>
        </w:rPr>
        <w:t>Not usability testing but complementary</w:t>
      </w:r>
      <w:r>
        <w:t xml:space="preserve">: </w:t>
      </w:r>
      <w:r>
        <w:rPr>
          <w:b/>
          <w:bCs/>
        </w:rPr>
        <w:t>A/B &amp; multivariate tests</w:t>
      </w:r>
      <w:r>
        <w:t xml:space="preserve">, </w:t>
      </w:r>
      <w:r>
        <w:rPr>
          <w:b/>
          <w:bCs/>
        </w:rPr>
        <w:t>acceptance testing</w:t>
      </w:r>
      <w:r>
        <w:t xml:space="preserve">, </w:t>
      </w:r>
      <w:r>
        <w:rPr>
          <w:b/>
          <w:bCs/>
        </w:rPr>
        <w:t>focus groups</w:t>
      </w:r>
      <w:r>
        <w:t xml:space="preserve">, </w:t>
      </w:r>
      <w:r>
        <w:rPr>
          <w:b/>
          <w:bCs/>
        </w:rPr>
        <w:t>surveys</w:t>
      </w:r>
      <w:r>
        <w:t xml:space="preserve">, </w:t>
      </w:r>
      <w:r>
        <w:rPr>
          <w:b/>
          <w:bCs/>
        </w:rPr>
        <w:t>heatmaps</w:t>
      </w:r>
      <w:r>
        <w:t>.</w:t>
      </w:r>
    </w:p>
    <w:p w14:paraId="779DB6B4" w14:textId="77777777" w:rsidR="00BD0A58" w:rsidRDefault="00B30C10">
      <w:r>
        <w:rPr>
          <w:noProof/>
        </w:rPr>
        <w:pict w14:anchorId="218FC3A8">
          <v:rect id="_x0000_i1033" alt="" style="width:468pt;height:.05pt;mso-width-percent:0;mso-height-percent:0;mso-width-percent:0;mso-height-percent:0" o:hralign="center" o:hrstd="t" o:hr="t"/>
        </w:pict>
      </w:r>
    </w:p>
    <w:p w14:paraId="787712F2" w14:textId="77777777" w:rsidR="00BD0A58" w:rsidRDefault="00000000">
      <w:pPr>
        <w:pStyle w:val="Heading2"/>
      </w:pPr>
      <w:bookmarkStart w:id="14" w:name="X16721b2a05e95771c5b6902de763343d2510124"/>
      <w:bookmarkEnd w:id="13"/>
      <w:r>
        <w:lastRenderedPageBreak/>
        <w:t>9) UX Research Methods — Glossary Highlights &amp; Study Design Tips</w:t>
      </w:r>
    </w:p>
    <w:p w14:paraId="0B1EBBFD" w14:textId="77777777" w:rsidR="00BD0A58" w:rsidRDefault="00000000">
      <w:pPr>
        <w:pStyle w:val="FirstParagraph"/>
      </w:pPr>
      <w:r>
        <w:rPr>
          <w:b/>
          <w:bCs/>
        </w:rPr>
        <w:t>Attitudinal vs. Behavioral</w:t>
      </w:r>
      <w:r>
        <w:t xml:space="preserve"> - </w:t>
      </w:r>
      <w:r>
        <w:rPr>
          <w:b/>
          <w:bCs/>
        </w:rPr>
        <w:t>Attitudinal</w:t>
      </w:r>
      <w:r>
        <w:t xml:space="preserve">: what people </w:t>
      </w:r>
      <w:r>
        <w:rPr>
          <w:b/>
          <w:bCs/>
        </w:rPr>
        <w:t>say</w:t>
      </w:r>
      <w:r>
        <w:t xml:space="preserve"> (interviews, surveys, focus groups, desirability studies). - </w:t>
      </w:r>
      <w:r>
        <w:rPr>
          <w:b/>
          <w:bCs/>
        </w:rPr>
        <w:t>Behavioral</w:t>
      </w:r>
      <w:r>
        <w:t xml:space="preserve">: what people </w:t>
      </w:r>
      <w:r>
        <w:rPr>
          <w:b/>
          <w:bCs/>
        </w:rPr>
        <w:t>do</w:t>
      </w:r>
      <w:r>
        <w:t xml:space="preserve"> (usability testing, analytics, eyetracking, clickstream).</w:t>
      </w:r>
    </w:p>
    <w:p w14:paraId="351E85F1" w14:textId="77777777" w:rsidR="00BD0A58" w:rsidRDefault="00000000">
      <w:pPr>
        <w:pStyle w:val="BodyText"/>
      </w:pPr>
      <w:r>
        <w:rPr>
          <w:b/>
          <w:bCs/>
        </w:rPr>
        <w:t>Discovery vs. Evaluation</w:t>
      </w:r>
      <w:r>
        <w:t xml:space="preserve"> - </w:t>
      </w:r>
      <w:r>
        <w:rPr>
          <w:b/>
          <w:bCs/>
        </w:rPr>
        <w:t>Formative</w:t>
      </w:r>
      <w:r>
        <w:t xml:space="preserve"> (improve during design) vs. </w:t>
      </w:r>
      <w:r>
        <w:rPr>
          <w:b/>
          <w:bCs/>
        </w:rPr>
        <w:t>Summative</w:t>
      </w:r>
      <w:r>
        <w:t xml:space="preserve"> (benchmark/compare after).</w:t>
      </w:r>
    </w:p>
    <w:p w14:paraId="6F054EC2" w14:textId="77777777" w:rsidR="00BD0A58" w:rsidRDefault="00000000">
      <w:pPr>
        <w:pStyle w:val="BodyText"/>
      </w:pPr>
      <w:r>
        <w:rPr>
          <w:b/>
          <w:bCs/>
        </w:rPr>
        <w:t>Common methods</w:t>
      </w:r>
      <w:r>
        <w:t xml:space="preserve"> - </w:t>
      </w:r>
      <w:r>
        <w:rPr>
          <w:b/>
          <w:bCs/>
        </w:rPr>
        <w:t>User interviews</w:t>
      </w:r>
      <w:r>
        <w:t xml:space="preserve"> (semi‑structured), </w:t>
      </w:r>
      <w:r>
        <w:rPr>
          <w:b/>
          <w:bCs/>
        </w:rPr>
        <w:t>contextual inquiry</w:t>
      </w:r>
      <w:r>
        <w:t xml:space="preserve"> (observe in context + interpret), </w:t>
      </w:r>
      <w:r>
        <w:rPr>
          <w:b/>
          <w:bCs/>
        </w:rPr>
        <w:t>diary studies</w:t>
      </w:r>
      <w:r>
        <w:t xml:space="preserve">, </w:t>
      </w:r>
      <w:r>
        <w:rPr>
          <w:b/>
          <w:bCs/>
        </w:rPr>
        <w:t>card sorting ↔ tree testing</w:t>
      </w:r>
      <w:r>
        <w:t xml:space="preserve"> (IA), </w:t>
      </w:r>
      <w:r>
        <w:rPr>
          <w:b/>
          <w:bCs/>
        </w:rPr>
        <w:t>Wizard of Oz</w:t>
      </w:r>
      <w:r>
        <w:t xml:space="preserve">, </w:t>
      </w:r>
      <w:r>
        <w:rPr>
          <w:b/>
          <w:bCs/>
        </w:rPr>
        <w:t>paper prototyping</w:t>
      </w:r>
      <w:r>
        <w:t xml:space="preserve">, </w:t>
      </w:r>
      <w:r>
        <w:rPr>
          <w:b/>
          <w:bCs/>
        </w:rPr>
        <w:t>quant/qual usability</w:t>
      </w:r>
      <w:r>
        <w:t xml:space="preserve">, </w:t>
      </w:r>
      <w:r>
        <w:rPr>
          <w:b/>
          <w:bCs/>
        </w:rPr>
        <w:t>benchmarking</w:t>
      </w:r>
      <w:r>
        <w:t>.</w:t>
      </w:r>
    </w:p>
    <w:p w14:paraId="39AB4B02" w14:textId="77777777" w:rsidR="00BD0A58" w:rsidRDefault="00000000">
      <w:pPr>
        <w:pStyle w:val="BodyText"/>
      </w:pPr>
      <w:r>
        <w:rPr>
          <w:b/>
          <w:bCs/>
        </w:rPr>
        <w:t>Design the mix</w:t>
      </w:r>
      <w:r>
        <w:t xml:space="preserve"> - Triangulate across methods to offset biases (memory limits, social desirability, novelty effects). Choose modality (moderated/unmoderated; remote/in‑person) per goals, budget, and risk.</w:t>
      </w:r>
    </w:p>
    <w:p w14:paraId="7B69602B" w14:textId="77777777" w:rsidR="00BD0A58" w:rsidRDefault="00B30C10">
      <w:r>
        <w:rPr>
          <w:noProof/>
        </w:rPr>
        <w:pict w14:anchorId="154F55FB">
          <v:rect id="_x0000_i1032" alt="" style="width:468pt;height:.05pt;mso-width-percent:0;mso-height-percent:0;mso-width-percent:0;mso-height-percent:0" o:hralign="center" o:hrstd="t" o:hr="t"/>
        </w:pict>
      </w:r>
    </w:p>
    <w:p w14:paraId="149B46A9" w14:textId="77777777" w:rsidR="00BD0A58" w:rsidRDefault="00000000">
      <w:pPr>
        <w:pStyle w:val="Heading2"/>
      </w:pPr>
      <w:bookmarkStart w:id="15" w:name="Xcf422422efdab4a774a56fc4966de04dbc45749"/>
      <w:bookmarkEnd w:id="14"/>
      <w:r>
        <w:t>10) Contextual Inquiry (Field Observation + Inquiry)</w:t>
      </w:r>
    </w:p>
    <w:p w14:paraId="23F29099" w14:textId="77777777" w:rsidR="00BD0A58" w:rsidRDefault="00000000">
      <w:pPr>
        <w:pStyle w:val="FirstParagraph"/>
      </w:pPr>
      <w:r>
        <w:rPr>
          <w:b/>
          <w:bCs/>
        </w:rPr>
        <w:t>Best for</w:t>
      </w:r>
      <w:r>
        <w:t>: complex workflows, expert domains, and uncovering tacit behaviors and workarounds.</w:t>
      </w:r>
    </w:p>
    <w:p w14:paraId="2BA1F0D6" w14:textId="77777777" w:rsidR="00BD0A58" w:rsidRDefault="00000000">
      <w:pPr>
        <w:pStyle w:val="BodyText"/>
      </w:pPr>
      <w:r>
        <w:rPr>
          <w:b/>
          <w:bCs/>
        </w:rPr>
        <w:t>Principles</w:t>
      </w:r>
      <w:r>
        <w:t xml:space="preserve">: </w:t>
      </w:r>
      <w:r>
        <w:rPr>
          <w:b/>
          <w:bCs/>
        </w:rPr>
        <w:t>Context</w:t>
      </w:r>
      <w:r>
        <w:t xml:space="preserve"> (real environment), </w:t>
      </w:r>
      <w:r>
        <w:rPr>
          <w:b/>
          <w:bCs/>
        </w:rPr>
        <w:t>Partnership</w:t>
      </w:r>
      <w:r>
        <w:t xml:space="preserve"> (apprentice mindset), </w:t>
      </w:r>
      <w:r>
        <w:rPr>
          <w:b/>
          <w:bCs/>
        </w:rPr>
        <w:t>Interpretation</w:t>
      </w:r>
      <w:r>
        <w:t xml:space="preserve"> (validate researcher’s understanding with participant), </w:t>
      </w:r>
      <w:r>
        <w:rPr>
          <w:b/>
          <w:bCs/>
        </w:rPr>
        <w:t>Focus</w:t>
      </w:r>
      <w:r>
        <w:t xml:space="preserve"> (tie to project goals).</w:t>
      </w:r>
    </w:p>
    <w:p w14:paraId="7EA0FE81" w14:textId="77777777" w:rsidR="00BD0A58" w:rsidRDefault="00000000">
      <w:pPr>
        <w:pStyle w:val="BodyText"/>
      </w:pPr>
      <w:r>
        <w:rPr>
          <w:b/>
          <w:bCs/>
        </w:rPr>
        <w:t>Session structure</w:t>
      </w:r>
      <w:r>
        <w:t xml:space="preserve"> 1) </w:t>
      </w:r>
      <w:r>
        <w:rPr>
          <w:b/>
          <w:bCs/>
        </w:rPr>
        <w:t>Primer</w:t>
      </w:r>
      <w:r>
        <w:t xml:space="preserve">: rapport, consent, expectations. 2) </w:t>
      </w:r>
      <w:r>
        <w:rPr>
          <w:b/>
          <w:bCs/>
        </w:rPr>
        <w:t>Transition</w:t>
      </w:r>
      <w:r>
        <w:t xml:space="preserve">: explain observation‑first mode; agree on interruption etiquette. 3) </w:t>
      </w:r>
      <w:r>
        <w:rPr>
          <w:b/>
          <w:bCs/>
        </w:rPr>
        <w:t>Contextual interview</w:t>
      </w:r>
      <w:r>
        <w:t xml:space="preserve">: cycles of </w:t>
      </w:r>
      <w:r>
        <w:rPr>
          <w:b/>
          <w:bCs/>
        </w:rPr>
        <w:t>watch → discuss</w:t>
      </w:r>
      <w:r>
        <w:t xml:space="preserve">; capture external resources, triggers, artifacts, and exceptions; validate mental‑model hypotheses sparingly to avoid bias. 4) </w:t>
      </w:r>
      <w:r>
        <w:rPr>
          <w:b/>
          <w:bCs/>
        </w:rPr>
        <w:t>Wrap‑up</w:t>
      </w:r>
      <w:r>
        <w:t>: final clarifications; researcher summarizes interpretations for confirmation.</w:t>
      </w:r>
    </w:p>
    <w:p w14:paraId="0150A6FC" w14:textId="77777777" w:rsidR="00BD0A58" w:rsidRDefault="00000000">
      <w:pPr>
        <w:pStyle w:val="BodyText"/>
      </w:pPr>
      <w:r>
        <w:rPr>
          <w:b/>
          <w:bCs/>
        </w:rPr>
        <w:t>Risks</w:t>
      </w:r>
      <w:r>
        <w:t>: interview‑mode drift; grievance sessions; researcher bias; participant reactivity. Mitigate via prep, neutral stance, and reminders to “work as usual.”</w:t>
      </w:r>
    </w:p>
    <w:p w14:paraId="0E22B84A" w14:textId="77777777" w:rsidR="00BD0A58" w:rsidRDefault="00B30C10">
      <w:r>
        <w:rPr>
          <w:noProof/>
        </w:rPr>
        <w:pict w14:anchorId="2F5A4F69">
          <v:rect id="_x0000_i1031" alt="" style="width:468pt;height:.05pt;mso-width-percent:0;mso-height-percent:0;mso-width-percent:0;mso-height-percent:0" o:hralign="center" o:hrstd="t" o:hr="t"/>
        </w:pict>
      </w:r>
    </w:p>
    <w:p w14:paraId="65049ED6" w14:textId="77777777" w:rsidR="00BD0A58" w:rsidRDefault="00000000">
      <w:pPr>
        <w:pStyle w:val="Heading2"/>
      </w:pPr>
      <w:bookmarkStart w:id="16" w:name="user-interviews-101-discovery-tool"/>
      <w:bookmarkEnd w:id="15"/>
      <w:r>
        <w:t>11) User Interviews 101 (Discovery Tool)</w:t>
      </w:r>
    </w:p>
    <w:p w14:paraId="7D4E66AC" w14:textId="77777777" w:rsidR="00BD0A58" w:rsidRDefault="00000000">
      <w:pPr>
        <w:pStyle w:val="FirstParagraph"/>
      </w:pPr>
      <w:r>
        <w:rPr>
          <w:b/>
          <w:bCs/>
        </w:rPr>
        <w:t>Why</w:t>
      </w:r>
      <w:r>
        <w:t>: build empathy; learn needs, pain points, motivations; produce personas, journey maps, and need statements.</w:t>
      </w:r>
    </w:p>
    <w:p w14:paraId="43C5BE6F" w14:textId="77777777" w:rsidR="00BD0A58" w:rsidRDefault="00000000">
      <w:pPr>
        <w:pStyle w:val="BodyText"/>
      </w:pPr>
      <w:r>
        <w:rPr>
          <w:b/>
          <w:bCs/>
        </w:rPr>
        <w:t>Key differences vs. usability tests</w:t>
      </w:r>
      <w:r>
        <w:t xml:space="preserve"> - Interviews (attitudinal, earlier </w:t>
      </w:r>
      <w:r>
        <w:rPr>
          <w:b/>
          <w:bCs/>
        </w:rPr>
        <w:t>Empathize</w:t>
      </w:r>
      <w:r>
        <w:t xml:space="preserve"> stage) vs. usability tests (behavioral, </w:t>
      </w:r>
      <w:r>
        <w:rPr>
          <w:b/>
          <w:bCs/>
        </w:rPr>
        <w:t>Test</w:t>
      </w:r>
      <w:r>
        <w:t xml:space="preserve"> stage with designs).</w:t>
      </w:r>
    </w:p>
    <w:p w14:paraId="14277C06" w14:textId="77777777" w:rsidR="00BD0A58" w:rsidRDefault="00000000">
      <w:pPr>
        <w:pStyle w:val="BodyText"/>
      </w:pPr>
      <w:r>
        <w:rPr>
          <w:b/>
          <w:bCs/>
        </w:rPr>
        <w:t>How‑to</w:t>
      </w:r>
      <w:r>
        <w:t xml:space="preserve"> 1) Define </w:t>
      </w:r>
      <w:r>
        <w:rPr>
          <w:b/>
          <w:bCs/>
        </w:rPr>
        <w:t>research goals</w:t>
      </w:r>
      <w:r>
        <w:t xml:space="preserve"> (concrete questions). 2) Prepare an </w:t>
      </w:r>
      <w:r>
        <w:rPr>
          <w:b/>
          <w:bCs/>
        </w:rPr>
        <w:t>interview guide</w:t>
      </w:r>
      <w:r>
        <w:t xml:space="preserve"> (open‑ended prompts + nested follow‑ups). 3) </w:t>
      </w:r>
      <w:r>
        <w:rPr>
          <w:b/>
          <w:bCs/>
        </w:rPr>
        <w:t>Pilot</w:t>
      </w:r>
      <w:r>
        <w:t xml:space="preserve"> and refine. 4) </w:t>
      </w:r>
      <w:r>
        <w:rPr>
          <w:b/>
          <w:bCs/>
        </w:rPr>
        <w:t>Start easy</w:t>
      </w:r>
      <w:r>
        <w:t xml:space="preserve">; explain </w:t>
      </w:r>
      <w:r>
        <w:lastRenderedPageBreak/>
        <w:t xml:space="preserve">purpose; warm‑up questions. 5) </w:t>
      </w:r>
      <w:r>
        <w:rPr>
          <w:b/>
          <w:bCs/>
        </w:rPr>
        <w:t>Build rapport</w:t>
      </w:r>
      <w:r>
        <w:t xml:space="preserve"> (listening cues, mirroring without leading). 6) </w:t>
      </w:r>
      <w:r>
        <w:rPr>
          <w:b/>
          <w:bCs/>
        </w:rPr>
        <w:t>Probe</w:t>
      </w:r>
      <w:r>
        <w:t xml:space="preserve"> (tell me more; why is that important?). Avoid leading; capture verbatim quotes.</w:t>
      </w:r>
    </w:p>
    <w:p w14:paraId="49CDA189" w14:textId="77777777" w:rsidR="00BD0A58" w:rsidRDefault="00000000">
      <w:pPr>
        <w:pStyle w:val="BodyText"/>
      </w:pPr>
      <w:r>
        <w:rPr>
          <w:b/>
          <w:bCs/>
        </w:rPr>
        <w:t>Combine with</w:t>
      </w:r>
      <w:r>
        <w:t xml:space="preserve"> field studies, usability tests, and diary studies for richer context.</w:t>
      </w:r>
    </w:p>
    <w:p w14:paraId="70BAD6D0" w14:textId="77777777" w:rsidR="00BD0A58" w:rsidRDefault="00000000">
      <w:pPr>
        <w:pStyle w:val="BodyText"/>
      </w:pPr>
      <w:r>
        <w:rPr>
          <w:b/>
          <w:bCs/>
        </w:rPr>
        <w:t>Limitations</w:t>
      </w:r>
      <w:r>
        <w:t>: recall gaps, missing details, social desirability bias; interviewer skill matters.</w:t>
      </w:r>
    </w:p>
    <w:p w14:paraId="4ACFE5CB" w14:textId="77777777" w:rsidR="00BD0A58" w:rsidRDefault="00B30C10">
      <w:r>
        <w:rPr>
          <w:noProof/>
        </w:rPr>
        <w:pict w14:anchorId="7953323D">
          <v:rect id="_x0000_i1030" alt="" style="width:468pt;height:.05pt;mso-width-percent:0;mso-height-percent:0;mso-width-percent:0;mso-height-percent:0" o:hralign="center" o:hrstd="t" o:hr="t"/>
        </w:pict>
      </w:r>
    </w:p>
    <w:p w14:paraId="24AF7CBB" w14:textId="77777777" w:rsidR="00BD0A58" w:rsidRDefault="00000000">
      <w:pPr>
        <w:pStyle w:val="Heading2"/>
      </w:pPr>
      <w:bookmarkStart w:id="17" w:name="krugs-first-law-dont-make-me-think-pdf"/>
      <w:bookmarkEnd w:id="16"/>
      <w:r>
        <w:t>12) Krug’s First Law — “Don’t Make Me Think” (PDF)</w:t>
      </w:r>
    </w:p>
    <w:p w14:paraId="7B50DF8E" w14:textId="77777777" w:rsidR="00BD0A58" w:rsidRDefault="00000000">
      <w:pPr>
        <w:pStyle w:val="FirstParagraph"/>
      </w:pPr>
      <w:r>
        <w:rPr>
          <w:b/>
          <w:bCs/>
        </w:rPr>
        <w:t>Core idea</w:t>
      </w:r>
      <w:r>
        <w:t xml:space="preserve">: Interfaces should be </w:t>
      </w:r>
      <w:r>
        <w:rPr>
          <w:b/>
          <w:bCs/>
        </w:rPr>
        <w:t>self‑evident</w:t>
      </w:r>
      <w:r>
        <w:t xml:space="preserve"> or at least </w:t>
      </w:r>
      <w:r>
        <w:rPr>
          <w:b/>
          <w:bCs/>
        </w:rPr>
        <w:t>self‑explanatory</w:t>
      </w:r>
      <w:r>
        <w:t>. Users satisfice; they scan, click first plausible option, and recover. Reduce cognitive load by making choices obvious, navigation consistent, and content scannable.</w:t>
      </w:r>
    </w:p>
    <w:p w14:paraId="689D51AE" w14:textId="77777777" w:rsidR="00BD0A58" w:rsidRDefault="00000000">
      <w:pPr>
        <w:pStyle w:val="BodyText"/>
      </w:pPr>
      <w:r>
        <w:rPr>
          <w:b/>
          <w:bCs/>
        </w:rPr>
        <w:t>Practical rules</w:t>
      </w:r>
      <w:r>
        <w:t xml:space="preserve"> - Omit needless words; use clear labels; make click targets look clickable. - Use conventions wisely; don’t reinvent basic patterns without strong reason. - Make pages self‑evident: clear hierarchy, visual affordances, obvious next steps.</w:t>
      </w:r>
    </w:p>
    <w:p w14:paraId="76536D3B" w14:textId="77777777" w:rsidR="00BD0A58" w:rsidRDefault="00000000">
      <w:pPr>
        <w:pStyle w:val="BodyText"/>
      </w:pPr>
      <w:r>
        <w:rPr>
          <w:b/>
          <w:bCs/>
        </w:rPr>
        <w:t>Alignment with heuristics</w:t>
      </w:r>
      <w:r>
        <w:t>: minimalism (H8), recognition over recall (H6), consistency (H4), control/freedom (H3).</w:t>
      </w:r>
    </w:p>
    <w:p w14:paraId="79925549" w14:textId="77777777" w:rsidR="00BD0A58" w:rsidRDefault="00B30C10">
      <w:r>
        <w:rPr>
          <w:noProof/>
        </w:rPr>
        <w:pict w14:anchorId="37E81577">
          <v:rect id="_x0000_i1029" alt="" style="width:468pt;height:.05pt;mso-width-percent:0;mso-height-percent:0;mso-width-percent:0;mso-height-percent:0" o:hralign="center" o:hrstd="t" o:hr="t"/>
        </w:pict>
      </w:r>
    </w:p>
    <w:p w14:paraId="7DDEBE16" w14:textId="77777777" w:rsidR="00BD0A58" w:rsidRDefault="00000000">
      <w:pPr>
        <w:pStyle w:val="Heading2"/>
      </w:pPr>
      <w:bookmarkStart w:id="18" w:name="X0fa674487281bda4b63b9c97fde1a13cc6abee1"/>
      <w:bookmarkEnd w:id="17"/>
      <w:r>
        <w:t>13) Putting It Together — Operating Model &amp; Checklist</w:t>
      </w:r>
    </w:p>
    <w:p w14:paraId="652F59D6" w14:textId="77777777" w:rsidR="00BD0A58" w:rsidRDefault="00000000">
      <w:pPr>
        <w:pStyle w:val="Heading3"/>
      </w:pPr>
      <w:bookmarkStart w:id="19" w:name="definition-of-done-dod-for-features"/>
      <w:r>
        <w:t>13.1 Definition of Done (DoD) for Features</w:t>
      </w:r>
    </w:p>
    <w:p w14:paraId="64964CB8" w14:textId="77777777" w:rsidR="00BD0A58" w:rsidRDefault="00000000">
      <w:pPr>
        <w:pStyle w:val="Compact"/>
        <w:numPr>
          <w:ilvl w:val="0"/>
          <w:numId w:val="13"/>
        </w:numPr>
      </w:pPr>
      <w:r>
        <w:rPr>
          <w:b/>
          <w:bCs/>
        </w:rPr>
        <w:t>Design</w:t>
      </w:r>
      <w:r>
        <w:t>: annotated specs include contrast tokens, focus styles, target sizes, labels/help text, error states, and semantics (roles/ARIA).</w:t>
      </w:r>
    </w:p>
    <w:p w14:paraId="750A10D9" w14:textId="77777777" w:rsidR="00BD0A58" w:rsidRDefault="00000000">
      <w:pPr>
        <w:pStyle w:val="Compact"/>
        <w:numPr>
          <w:ilvl w:val="0"/>
          <w:numId w:val="13"/>
        </w:numPr>
      </w:pPr>
      <w:r>
        <w:rPr>
          <w:b/>
          <w:bCs/>
        </w:rPr>
        <w:t>Code</w:t>
      </w:r>
      <w:r>
        <w:t>: semantic HTML, ARIA only as needed, keyboard support, visible focus, accessible auth, non‑drag alternatives, responsive reflow.</w:t>
      </w:r>
    </w:p>
    <w:p w14:paraId="1E354527" w14:textId="77777777" w:rsidR="00BD0A58" w:rsidRDefault="00000000">
      <w:pPr>
        <w:pStyle w:val="Compact"/>
        <w:numPr>
          <w:ilvl w:val="0"/>
          <w:numId w:val="13"/>
        </w:numPr>
      </w:pPr>
      <w:r>
        <w:rPr>
          <w:b/>
          <w:bCs/>
        </w:rPr>
        <w:t>Test</w:t>
      </w:r>
      <w:r>
        <w:t>: unit + integration + accessibility tests (axe/lighthouse + manual), assistive tech smoke tests (NVDA/VoiceOver/JAWS), keyboard‑only walkthroughs, zoom/reflow checks, motion/flash safety.</w:t>
      </w:r>
    </w:p>
    <w:p w14:paraId="7CAAA76E" w14:textId="77777777" w:rsidR="00BD0A58" w:rsidRDefault="00000000">
      <w:pPr>
        <w:pStyle w:val="Compact"/>
        <w:numPr>
          <w:ilvl w:val="0"/>
          <w:numId w:val="13"/>
        </w:numPr>
      </w:pPr>
      <w:r>
        <w:rPr>
          <w:b/>
          <w:bCs/>
        </w:rPr>
        <w:t>Docs</w:t>
      </w:r>
      <w:r>
        <w:t>: include help, error guidance, and alt‑text rules.</w:t>
      </w:r>
    </w:p>
    <w:p w14:paraId="39E624FE" w14:textId="77777777" w:rsidR="00BD0A58" w:rsidRDefault="00000000">
      <w:pPr>
        <w:pStyle w:val="Heading3"/>
      </w:pPr>
      <w:bookmarkStart w:id="20" w:name="X684eac7a0f33fc07813e631f4350c546be01689"/>
      <w:bookmarkEnd w:id="19"/>
      <w:r>
        <w:t>13.2 Research Plan Template (Discovery → Delivery)</w:t>
      </w:r>
    </w:p>
    <w:p w14:paraId="4D25EBAE" w14:textId="77777777" w:rsidR="00BD0A58" w:rsidRDefault="00000000">
      <w:pPr>
        <w:pStyle w:val="Compact"/>
        <w:numPr>
          <w:ilvl w:val="0"/>
          <w:numId w:val="14"/>
        </w:numPr>
      </w:pPr>
      <w:r>
        <w:rPr>
          <w:b/>
          <w:bCs/>
        </w:rPr>
        <w:t>Goals &amp; hypotheses</w:t>
      </w:r>
    </w:p>
    <w:p w14:paraId="42CF5005" w14:textId="77777777" w:rsidR="00BD0A58" w:rsidRDefault="00000000">
      <w:pPr>
        <w:pStyle w:val="Compact"/>
        <w:numPr>
          <w:ilvl w:val="0"/>
          <w:numId w:val="14"/>
        </w:numPr>
      </w:pPr>
      <w:r>
        <w:rPr>
          <w:b/>
          <w:bCs/>
        </w:rPr>
        <w:t>Methods</w:t>
      </w:r>
      <w:r>
        <w:t>: interviews → contextual inquiry → card sort/tree test → prototype tests → iterative usability tests → analytics/AB.</w:t>
      </w:r>
    </w:p>
    <w:p w14:paraId="263DB98B" w14:textId="77777777" w:rsidR="00BD0A58" w:rsidRDefault="00000000">
      <w:pPr>
        <w:pStyle w:val="Compact"/>
        <w:numPr>
          <w:ilvl w:val="0"/>
          <w:numId w:val="14"/>
        </w:numPr>
      </w:pPr>
      <w:r>
        <w:rPr>
          <w:b/>
          <w:bCs/>
        </w:rPr>
        <w:t>Sampling</w:t>
      </w:r>
      <w:r>
        <w:t>: include diverse abilities; recruit 5–8 per round per segment for qualitative.</w:t>
      </w:r>
    </w:p>
    <w:p w14:paraId="2903C84A" w14:textId="77777777" w:rsidR="00BD0A58" w:rsidRDefault="00000000">
      <w:pPr>
        <w:pStyle w:val="Compact"/>
        <w:numPr>
          <w:ilvl w:val="0"/>
          <w:numId w:val="14"/>
        </w:numPr>
      </w:pPr>
      <w:r>
        <w:rPr>
          <w:b/>
          <w:bCs/>
        </w:rPr>
        <w:t>Measures</w:t>
      </w:r>
      <w:r>
        <w:t>: task success, time, SUS/UMUX‑Lite, error rates, qualitative themes.</w:t>
      </w:r>
    </w:p>
    <w:p w14:paraId="11277A9B" w14:textId="77777777" w:rsidR="00BD0A58" w:rsidRDefault="00000000">
      <w:pPr>
        <w:pStyle w:val="Compact"/>
        <w:numPr>
          <w:ilvl w:val="0"/>
          <w:numId w:val="14"/>
        </w:numPr>
      </w:pPr>
      <w:r>
        <w:rPr>
          <w:b/>
          <w:bCs/>
        </w:rPr>
        <w:t>Synthesis</w:t>
      </w:r>
      <w:r>
        <w:t>: affinity maps, journey maps, jobs‑to‑be‑done, opportunity backlog.</w:t>
      </w:r>
    </w:p>
    <w:p w14:paraId="329736DE" w14:textId="77777777" w:rsidR="00BD0A58" w:rsidRDefault="00000000">
      <w:pPr>
        <w:pStyle w:val="Heading3"/>
      </w:pPr>
      <w:bookmarkStart w:id="21" w:name="heuristic-evaluation-template-fields"/>
      <w:bookmarkEnd w:id="20"/>
      <w:r>
        <w:lastRenderedPageBreak/>
        <w:t>13.3 Heuristic Evaluation Template (Fields)</w:t>
      </w:r>
    </w:p>
    <w:p w14:paraId="6E20C314" w14:textId="77777777" w:rsidR="00BD0A58" w:rsidRDefault="00000000">
      <w:pPr>
        <w:pStyle w:val="Compact"/>
        <w:numPr>
          <w:ilvl w:val="0"/>
          <w:numId w:val="15"/>
        </w:numPr>
      </w:pPr>
      <w:r>
        <w:t>Screen/page | Heuristic violated | Problem description | Evidence/screenshot | Severity (1–4) | Recommendation | WCAG link | Owner | Status</w:t>
      </w:r>
    </w:p>
    <w:p w14:paraId="79E8CDB3" w14:textId="77777777" w:rsidR="00BD0A58" w:rsidRDefault="00000000">
      <w:pPr>
        <w:pStyle w:val="Heading3"/>
      </w:pPr>
      <w:bookmarkStart w:id="22" w:name="wcag-2.2-aa-quick-scan-core-pages"/>
      <w:bookmarkEnd w:id="21"/>
      <w:r>
        <w:t>13.4 WCAG 2.2 AA Quick Scan (Core Pages)</w:t>
      </w:r>
    </w:p>
    <w:p w14:paraId="73283A65" w14:textId="77777777" w:rsidR="00BD0A58" w:rsidRDefault="00000000">
      <w:pPr>
        <w:pStyle w:val="Compact"/>
        <w:numPr>
          <w:ilvl w:val="0"/>
          <w:numId w:val="16"/>
        </w:numPr>
      </w:pPr>
      <w:r>
        <w:t>Landing | Nav | Search | Listing | PDP | Cart/Checkout | Forms | Auth | Help/Docs | Error pages</w:t>
      </w:r>
    </w:p>
    <w:p w14:paraId="695523F5" w14:textId="77777777" w:rsidR="00BD0A58" w:rsidRDefault="00000000">
      <w:pPr>
        <w:pStyle w:val="Compact"/>
        <w:numPr>
          <w:ilvl w:val="0"/>
          <w:numId w:val="16"/>
        </w:numPr>
      </w:pPr>
      <w:r>
        <w:t>For each: alt text present; keyboard complete; focus not obscured; contrast ok; labels and instructions; error messages inline + suggestions; redundant entry avoided; target sizes ≥24px; drag alternatives; auth accessible; status messages polite.</w:t>
      </w:r>
    </w:p>
    <w:p w14:paraId="0251642B" w14:textId="77777777" w:rsidR="00BD0A58" w:rsidRDefault="00B30C10">
      <w:r>
        <w:rPr>
          <w:noProof/>
        </w:rPr>
        <w:pict w14:anchorId="67C0D88D">
          <v:rect id="_x0000_i1028" alt="" style="width:468pt;height:.05pt;mso-width-percent:0;mso-height-percent:0;mso-width-percent:0;mso-height-percent:0" o:hralign="center" o:hrstd="t" o:hr="t"/>
        </w:pict>
      </w:r>
    </w:p>
    <w:p w14:paraId="077C8A42" w14:textId="77777777" w:rsidR="00BD0A58" w:rsidRDefault="00000000">
      <w:pPr>
        <w:pStyle w:val="Heading2"/>
      </w:pPr>
      <w:bookmarkStart w:id="23" w:name="crosswalks-reference-tables"/>
      <w:bookmarkEnd w:id="18"/>
      <w:bookmarkEnd w:id="22"/>
      <w:r>
        <w:t>14) Crosswalks &amp; Reference Tables</w:t>
      </w:r>
    </w:p>
    <w:p w14:paraId="4FD0C824" w14:textId="77777777" w:rsidR="00BD0A58" w:rsidRDefault="00000000">
      <w:pPr>
        <w:pStyle w:val="Heading3"/>
      </w:pPr>
      <w:bookmarkStart w:id="24" w:name="heuristics-wcag-selected"/>
      <w:r>
        <w:t>14.1 Heuristics ↔ WCAG (Selected)</w:t>
      </w:r>
    </w:p>
    <w:p w14:paraId="179AE676" w14:textId="77777777" w:rsidR="00BD0A58" w:rsidRDefault="00000000">
      <w:pPr>
        <w:pStyle w:val="Compact"/>
        <w:numPr>
          <w:ilvl w:val="0"/>
          <w:numId w:val="17"/>
        </w:numPr>
      </w:pPr>
      <w:r>
        <w:rPr>
          <w:b/>
          <w:bCs/>
        </w:rPr>
        <w:t>H1 Visibility</w:t>
      </w:r>
      <w:r>
        <w:t xml:space="preserve"> ↔ </w:t>
      </w:r>
      <w:r>
        <w:rPr>
          <w:b/>
          <w:bCs/>
        </w:rPr>
        <w:t>4.1.3</w:t>
      </w:r>
      <w:r>
        <w:t xml:space="preserve">, </w:t>
      </w:r>
      <w:r>
        <w:rPr>
          <w:b/>
          <w:bCs/>
        </w:rPr>
        <w:t>2.4.8 (AAA)</w:t>
      </w:r>
      <w:r>
        <w:t xml:space="preserve"> location, </w:t>
      </w:r>
      <w:r>
        <w:rPr>
          <w:b/>
          <w:bCs/>
        </w:rPr>
        <w:t>2.4.7</w:t>
      </w:r>
      <w:r>
        <w:t xml:space="preserve"> focus visible.</w:t>
      </w:r>
    </w:p>
    <w:p w14:paraId="2C87FBCF" w14:textId="77777777" w:rsidR="00BD0A58" w:rsidRDefault="00000000">
      <w:pPr>
        <w:pStyle w:val="Compact"/>
        <w:numPr>
          <w:ilvl w:val="0"/>
          <w:numId w:val="17"/>
        </w:numPr>
      </w:pPr>
      <w:r>
        <w:rPr>
          <w:b/>
          <w:bCs/>
        </w:rPr>
        <w:t>H2 Real‑world match</w:t>
      </w:r>
      <w:r>
        <w:t xml:space="preserve"> ↔ </w:t>
      </w:r>
      <w:r>
        <w:rPr>
          <w:b/>
          <w:bCs/>
        </w:rPr>
        <w:t>3.1.x</w:t>
      </w:r>
      <w:r>
        <w:t xml:space="preserve"> language clarity, </w:t>
      </w:r>
      <w:r>
        <w:rPr>
          <w:b/>
          <w:bCs/>
        </w:rPr>
        <w:t>2.4.2</w:t>
      </w:r>
      <w:r>
        <w:t xml:space="preserve"> titles.</w:t>
      </w:r>
    </w:p>
    <w:p w14:paraId="77D3FDDA" w14:textId="77777777" w:rsidR="00BD0A58" w:rsidRDefault="00000000">
      <w:pPr>
        <w:pStyle w:val="Compact"/>
        <w:numPr>
          <w:ilvl w:val="0"/>
          <w:numId w:val="17"/>
        </w:numPr>
      </w:pPr>
      <w:r>
        <w:rPr>
          <w:b/>
          <w:bCs/>
        </w:rPr>
        <w:t>H3 Control/Freedom</w:t>
      </w:r>
      <w:r>
        <w:t xml:space="preserve"> ↔ </w:t>
      </w:r>
      <w:r>
        <w:rPr>
          <w:b/>
          <w:bCs/>
        </w:rPr>
        <w:t>2.2.x</w:t>
      </w:r>
      <w:r>
        <w:t xml:space="preserve"> timing controls, </w:t>
      </w:r>
      <w:r>
        <w:rPr>
          <w:b/>
          <w:bCs/>
        </w:rPr>
        <w:t>3.3.4</w:t>
      </w:r>
      <w:r>
        <w:t xml:space="preserve"> confirmations.</w:t>
      </w:r>
    </w:p>
    <w:p w14:paraId="1ABE833E" w14:textId="77777777" w:rsidR="00BD0A58" w:rsidRDefault="00000000">
      <w:pPr>
        <w:pStyle w:val="Compact"/>
        <w:numPr>
          <w:ilvl w:val="0"/>
          <w:numId w:val="17"/>
        </w:numPr>
      </w:pPr>
      <w:r>
        <w:rPr>
          <w:b/>
          <w:bCs/>
        </w:rPr>
        <w:t>H4 Consistency</w:t>
      </w:r>
      <w:r>
        <w:t xml:space="preserve"> ↔ </w:t>
      </w:r>
      <w:r>
        <w:rPr>
          <w:b/>
          <w:bCs/>
        </w:rPr>
        <w:t>3.2.3/3.2.4</w:t>
      </w:r>
      <w:r>
        <w:t xml:space="preserve"> predictable navigation/identification.</w:t>
      </w:r>
    </w:p>
    <w:p w14:paraId="19BD9C58" w14:textId="77777777" w:rsidR="00BD0A58" w:rsidRDefault="00000000">
      <w:pPr>
        <w:pStyle w:val="Compact"/>
        <w:numPr>
          <w:ilvl w:val="0"/>
          <w:numId w:val="17"/>
        </w:numPr>
      </w:pPr>
      <w:r>
        <w:rPr>
          <w:b/>
          <w:bCs/>
        </w:rPr>
        <w:t>H5 Error prevention</w:t>
      </w:r>
      <w:r>
        <w:t xml:space="preserve"> ↔ </w:t>
      </w:r>
      <w:r>
        <w:rPr>
          <w:b/>
          <w:bCs/>
        </w:rPr>
        <w:t>3.3.4</w:t>
      </w:r>
      <w:r>
        <w:t xml:space="preserve">, </w:t>
      </w:r>
      <w:r>
        <w:rPr>
          <w:b/>
          <w:bCs/>
        </w:rPr>
        <w:t>2.5.2</w:t>
      </w:r>
      <w:r>
        <w:t xml:space="preserve"> pointer cancellation.</w:t>
      </w:r>
    </w:p>
    <w:p w14:paraId="1A23A600" w14:textId="77777777" w:rsidR="00BD0A58" w:rsidRDefault="00000000">
      <w:pPr>
        <w:pStyle w:val="Compact"/>
        <w:numPr>
          <w:ilvl w:val="0"/>
          <w:numId w:val="17"/>
        </w:numPr>
      </w:pPr>
      <w:r>
        <w:rPr>
          <w:b/>
          <w:bCs/>
        </w:rPr>
        <w:t>H6 Recognition</w:t>
      </w:r>
      <w:r>
        <w:t xml:space="preserve"> ↔ </w:t>
      </w:r>
      <w:r>
        <w:rPr>
          <w:b/>
          <w:bCs/>
        </w:rPr>
        <w:t>2.4.4</w:t>
      </w:r>
      <w:r>
        <w:t xml:space="preserve"> link purpose, </w:t>
      </w:r>
      <w:r>
        <w:rPr>
          <w:b/>
          <w:bCs/>
        </w:rPr>
        <w:t>1.3.1</w:t>
      </w:r>
      <w:r>
        <w:t xml:space="preserve"> info/relationships.</w:t>
      </w:r>
    </w:p>
    <w:p w14:paraId="64A41328" w14:textId="77777777" w:rsidR="00BD0A58" w:rsidRDefault="00000000">
      <w:pPr>
        <w:pStyle w:val="Compact"/>
        <w:numPr>
          <w:ilvl w:val="0"/>
          <w:numId w:val="17"/>
        </w:numPr>
      </w:pPr>
      <w:r>
        <w:rPr>
          <w:b/>
          <w:bCs/>
        </w:rPr>
        <w:t>H7 Efficiency</w:t>
      </w:r>
      <w:r>
        <w:t xml:space="preserve"> ↔ not mandated by WCAG, but improves operability and satisfaction.</w:t>
      </w:r>
    </w:p>
    <w:p w14:paraId="057FD87A" w14:textId="77777777" w:rsidR="00BD0A58" w:rsidRDefault="00000000">
      <w:pPr>
        <w:pStyle w:val="Compact"/>
        <w:numPr>
          <w:ilvl w:val="0"/>
          <w:numId w:val="17"/>
        </w:numPr>
      </w:pPr>
      <w:r>
        <w:rPr>
          <w:b/>
          <w:bCs/>
        </w:rPr>
        <w:t>H8 Minimalism</w:t>
      </w:r>
      <w:r>
        <w:t xml:space="preserve"> ↔ </w:t>
      </w:r>
      <w:r>
        <w:rPr>
          <w:b/>
          <w:bCs/>
        </w:rPr>
        <w:t>1.4.x</w:t>
      </w:r>
      <w:r>
        <w:t>.</w:t>
      </w:r>
    </w:p>
    <w:p w14:paraId="14A065DD" w14:textId="77777777" w:rsidR="00BD0A58" w:rsidRDefault="00000000">
      <w:pPr>
        <w:pStyle w:val="Compact"/>
        <w:numPr>
          <w:ilvl w:val="0"/>
          <w:numId w:val="17"/>
        </w:numPr>
      </w:pPr>
      <w:r>
        <w:rPr>
          <w:b/>
          <w:bCs/>
        </w:rPr>
        <w:t>H9 Error recovery</w:t>
      </w:r>
      <w:r>
        <w:t xml:space="preserve"> ↔ </w:t>
      </w:r>
      <w:r>
        <w:rPr>
          <w:b/>
          <w:bCs/>
        </w:rPr>
        <w:t>3.3.1–3.3.3</w:t>
      </w:r>
      <w:r>
        <w:t>.</w:t>
      </w:r>
    </w:p>
    <w:p w14:paraId="687082D5" w14:textId="77777777" w:rsidR="00BD0A58" w:rsidRDefault="00000000">
      <w:pPr>
        <w:pStyle w:val="Compact"/>
        <w:numPr>
          <w:ilvl w:val="0"/>
          <w:numId w:val="17"/>
        </w:numPr>
      </w:pPr>
      <w:r>
        <w:rPr>
          <w:b/>
          <w:bCs/>
        </w:rPr>
        <w:t>H10 Help/Docs</w:t>
      </w:r>
      <w:r>
        <w:t xml:space="preserve"> ↔ </w:t>
      </w:r>
      <w:r>
        <w:rPr>
          <w:b/>
          <w:bCs/>
        </w:rPr>
        <w:t>3.3.5 (AAA)</w:t>
      </w:r>
      <w:r>
        <w:t>, general best practice.</w:t>
      </w:r>
    </w:p>
    <w:p w14:paraId="3F582462" w14:textId="77777777" w:rsidR="00BD0A58" w:rsidRDefault="00000000">
      <w:pPr>
        <w:pStyle w:val="Heading3"/>
      </w:pPr>
      <w:bookmarkStart w:id="25" w:name="methods-matrix-when-to-use-what"/>
      <w:bookmarkEnd w:id="24"/>
      <w:r>
        <w:t>14.2 Methods Matrix (When to Use What)</w:t>
      </w:r>
    </w:p>
    <w:p w14:paraId="337898DF" w14:textId="77777777" w:rsidR="00BD0A58" w:rsidRDefault="00000000">
      <w:pPr>
        <w:pStyle w:val="Compact"/>
        <w:numPr>
          <w:ilvl w:val="0"/>
          <w:numId w:val="18"/>
        </w:numPr>
      </w:pPr>
      <w:r>
        <w:rPr>
          <w:b/>
          <w:bCs/>
        </w:rPr>
        <w:t>Explore needs</w:t>
      </w:r>
      <w:r>
        <w:t>: interviews, contextual inquiry, diary.</w:t>
      </w:r>
    </w:p>
    <w:p w14:paraId="348D719D" w14:textId="77777777" w:rsidR="00BD0A58" w:rsidRDefault="00000000">
      <w:pPr>
        <w:pStyle w:val="Compact"/>
        <w:numPr>
          <w:ilvl w:val="0"/>
          <w:numId w:val="18"/>
        </w:numPr>
      </w:pPr>
      <w:r>
        <w:rPr>
          <w:b/>
          <w:bCs/>
        </w:rPr>
        <w:t>Structure IA</w:t>
      </w:r>
      <w:r>
        <w:t>: card sort → tree test.</w:t>
      </w:r>
    </w:p>
    <w:p w14:paraId="314C5C44" w14:textId="77777777" w:rsidR="00BD0A58" w:rsidRDefault="00000000">
      <w:pPr>
        <w:pStyle w:val="Compact"/>
        <w:numPr>
          <w:ilvl w:val="0"/>
          <w:numId w:val="18"/>
        </w:numPr>
      </w:pPr>
      <w:r>
        <w:rPr>
          <w:b/>
          <w:bCs/>
        </w:rPr>
        <w:t>Evaluate flows</w:t>
      </w:r>
      <w:r>
        <w:t>: moderated usability tests (prototype/live), first‑click tests.</w:t>
      </w:r>
    </w:p>
    <w:p w14:paraId="597C7A70" w14:textId="77777777" w:rsidR="00BD0A58" w:rsidRDefault="00000000">
      <w:pPr>
        <w:pStyle w:val="Compact"/>
        <w:numPr>
          <w:ilvl w:val="0"/>
          <w:numId w:val="18"/>
        </w:numPr>
      </w:pPr>
      <w:r>
        <w:rPr>
          <w:b/>
          <w:bCs/>
        </w:rPr>
        <w:t>Scale behaviors</w:t>
      </w:r>
      <w:r>
        <w:t>: analytics, session replay, AB testing.</w:t>
      </w:r>
    </w:p>
    <w:p w14:paraId="1771FD72" w14:textId="77777777" w:rsidR="00BD0A58" w:rsidRDefault="00000000">
      <w:pPr>
        <w:pStyle w:val="Compact"/>
        <w:numPr>
          <w:ilvl w:val="0"/>
          <w:numId w:val="18"/>
        </w:numPr>
      </w:pPr>
      <w:r>
        <w:rPr>
          <w:b/>
          <w:bCs/>
        </w:rPr>
        <w:t>Visual clarity</w:t>
      </w:r>
      <w:r>
        <w:t>: five‑second tests, desirability studies, eye‑tracking (optional).</w:t>
      </w:r>
    </w:p>
    <w:p w14:paraId="0B14C154" w14:textId="77777777" w:rsidR="00BD0A58" w:rsidRDefault="00B30C10">
      <w:r>
        <w:rPr>
          <w:noProof/>
        </w:rPr>
        <w:pict w14:anchorId="008AD2FB">
          <v:rect id="_x0000_i1027" alt="" style="width:468pt;height:.05pt;mso-width-percent:0;mso-height-percent:0;mso-width-percent:0;mso-height-percent:0" o:hralign="center" o:hrstd="t" o:hr="t"/>
        </w:pict>
      </w:r>
    </w:p>
    <w:p w14:paraId="36496EDC" w14:textId="77777777" w:rsidR="00BD0A58" w:rsidRDefault="00000000">
      <w:pPr>
        <w:pStyle w:val="Heading2"/>
      </w:pPr>
      <w:bookmarkStart w:id="26" w:name="sample-artifacts-copyready"/>
      <w:bookmarkEnd w:id="23"/>
      <w:bookmarkEnd w:id="25"/>
      <w:r>
        <w:t>15) Sample Artifacts (Copy‑Ready)</w:t>
      </w:r>
    </w:p>
    <w:p w14:paraId="3A2EC25E" w14:textId="77777777" w:rsidR="00BD0A58" w:rsidRDefault="00000000">
      <w:pPr>
        <w:pStyle w:val="Heading3"/>
      </w:pPr>
      <w:bookmarkStart w:id="27" w:name="interview-guide-snippet"/>
      <w:r>
        <w:t>15.1 Interview Guide (Snippet)</w:t>
      </w:r>
    </w:p>
    <w:p w14:paraId="2EE35ED3" w14:textId="77777777" w:rsidR="00BD0A58" w:rsidRDefault="00000000">
      <w:pPr>
        <w:pStyle w:val="Compact"/>
        <w:numPr>
          <w:ilvl w:val="0"/>
          <w:numId w:val="19"/>
        </w:numPr>
      </w:pPr>
      <w:r>
        <w:rPr>
          <w:b/>
          <w:bCs/>
        </w:rPr>
        <w:t>Goals</w:t>
      </w:r>
      <w:r>
        <w:t>: [insert].</w:t>
      </w:r>
    </w:p>
    <w:p w14:paraId="63B993DA" w14:textId="77777777" w:rsidR="00BD0A58" w:rsidRDefault="00000000">
      <w:pPr>
        <w:pStyle w:val="Compact"/>
        <w:numPr>
          <w:ilvl w:val="0"/>
          <w:numId w:val="19"/>
        </w:numPr>
      </w:pPr>
      <w:r>
        <w:rPr>
          <w:b/>
          <w:bCs/>
        </w:rPr>
        <w:t>Warm‑up</w:t>
      </w:r>
      <w:r>
        <w:t>: Tell me about your role/day.</w:t>
      </w:r>
    </w:p>
    <w:p w14:paraId="6169EBCF" w14:textId="77777777" w:rsidR="00BD0A58" w:rsidRDefault="00000000">
      <w:pPr>
        <w:pStyle w:val="Compact"/>
        <w:numPr>
          <w:ilvl w:val="0"/>
          <w:numId w:val="19"/>
        </w:numPr>
      </w:pPr>
      <w:r>
        <w:rPr>
          <w:b/>
          <w:bCs/>
        </w:rPr>
        <w:lastRenderedPageBreak/>
        <w:t>Core</w:t>
      </w:r>
      <w:r>
        <w:t>: Walk me through the last time you [task]. What worked? What was frustrating? How did you decide what to do next?</w:t>
      </w:r>
    </w:p>
    <w:p w14:paraId="37884755" w14:textId="77777777" w:rsidR="00BD0A58" w:rsidRDefault="00000000">
      <w:pPr>
        <w:pStyle w:val="Compact"/>
        <w:numPr>
          <w:ilvl w:val="0"/>
          <w:numId w:val="19"/>
        </w:numPr>
      </w:pPr>
      <w:r>
        <w:rPr>
          <w:b/>
          <w:bCs/>
        </w:rPr>
        <w:t>Probes</w:t>
      </w:r>
      <w:r>
        <w:t>: How did that make you feel? What else? Why is that important?</w:t>
      </w:r>
    </w:p>
    <w:p w14:paraId="02254746" w14:textId="77777777" w:rsidR="00BD0A58" w:rsidRDefault="00000000">
      <w:pPr>
        <w:pStyle w:val="Compact"/>
        <w:numPr>
          <w:ilvl w:val="0"/>
          <w:numId w:val="19"/>
        </w:numPr>
      </w:pPr>
      <w:r>
        <w:rPr>
          <w:b/>
          <w:bCs/>
        </w:rPr>
        <w:t>Wrap</w:t>
      </w:r>
      <w:r>
        <w:t>: Anything we didn’t cover that matters?</w:t>
      </w:r>
    </w:p>
    <w:p w14:paraId="6B2BEF2A" w14:textId="77777777" w:rsidR="00BD0A58" w:rsidRDefault="00000000">
      <w:pPr>
        <w:pStyle w:val="Heading3"/>
      </w:pPr>
      <w:bookmarkStart w:id="28" w:name="contextual-inquiry-plan-snippet"/>
      <w:bookmarkEnd w:id="27"/>
      <w:r>
        <w:t>15.2 Contextual Inquiry Plan (Snippet)</w:t>
      </w:r>
    </w:p>
    <w:p w14:paraId="0F831AF2" w14:textId="77777777" w:rsidR="00BD0A58" w:rsidRDefault="00000000">
      <w:pPr>
        <w:pStyle w:val="Compact"/>
        <w:numPr>
          <w:ilvl w:val="0"/>
          <w:numId w:val="20"/>
        </w:numPr>
      </w:pPr>
      <w:r>
        <w:rPr>
          <w:b/>
          <w:bCs/>
        </w:rPr>
        <w:t>Participants</w:t>
      </w:r>
      <w:r>
        <w:t>: [expert users X/Y].</w:t>
      </w:r>
    </w:p>
    <w:p w14:paraId="33AD638C" w14:textId="77777777" w:rsidR="00BD0A58" w:rsidRDefault="00000000">
      <w:pPr>
        <w:pStyle w:val="Compact"/>
        <w:numPr>
          <w:ilvl w:val="0"/>
          <w:numId w:val="20"/>
        </w:numPr>
      </w:pPr>
      <w:r>
        <w:rPr>
          <w:b/>
          <w:bCs/>
        </w:rPr>
        <w:t>Context</w:t>
      </w:r>
      <w:r>
        <w:t>: on‑site or remote screen‑share; observe real tasks.</w:t>
      </w:r>
    </w:p>
    <w:p w14:paraId="1DD0BD17" w14:textId="77777777" w:rsidR="00BD0A58" w:rsidRDefault="00000000">
      <w:pPr>
        <w:pStyle w:val="Compact"/>
        <w:numPr>
          <w:ilvl w:val="0"/>
          <w:numId w:val="20"/>
        </w:numPr>
      </w:pPr>
      <w:r>
        <w:rPr>
          <w:b/>
          <w:bCs/>
        </w:rPr>
        <w:t>Artifacts</w:t>
      </w:r>
      <w:r>
        <w:t>: screenshots of tools, checklists, notes.</w:t>
      </w:r>
    </w:p>
    <w:p w14:paraId="6BF2DCEA" w14:textId="77777777" w:rsidR="00BD0A58" w:rsidRDefault="00000000">
      <w:pPr>
        <w:pStyle w:val="Compact"/>
        <w:numPr>
          <w:ilvl w:val="0"/>
          <w:numId w:val="20"/>
        </w:numPr>
      </w:pPr>
      <w:r>
        <w:rPr>
          <w:b/>
          <w:bCs/>
        </w:rPr>
        <w:t>Ethics</w:t>
      </w:r>
      <w:r>
        <w:t>: consent, anonymity, data handling.</w:t>
      </w:r>
    </w:p>
    <w:p w14:paraId="5F11FABC" w14:textId="77777777" w:rsidR="00BD0A58" w:rsidRDefault="00000000">
      <w:pPr>
        <w:pStyle w:val="Compact"/>
        <w:numPr>
          <w:ilvl w:val="0"/>
          <w:numId w:val="20"/>
        </w:numPr>
      </w:pPr>
      <w:r>
        <w:rPr>
          <w:b/>
          <w:bCs/>
        </w:rPr>
        <w:t>Deliverables</w:t>
      </w:r>
      <w:r>
        <w:t>: workflow maps, pain points, design implications.</w:t>
      </w:r>
    </w:p>
    <w:p w14:paraId="4FCCF68E" w14:textId="77777777" w:rsidR="00BD0A58" w:rsidRDefault="00000000">
      <w:pPr>
        <w:pStyle w:val="Heading3"/>
      </w:pPr>
      <w:bookmarkStart w:id="29" w:name="heuristic-evaluation-worksheet-snippet"/>
      <w:bookmarkEnd w:id="28"/>
      <w:r>
        <w:t>15.3 Heuristic Evaluation Worksheet (Snippet)</w:t>
      </w:r>
    </w:p>
    <w:p w14:paraId="051B93E2" w14:textId="77777777" w:rsidR="00BD0A58" w:rsidRDefault="00000000">
      <w:pPr>
        <w:pStyle w:val="Compact"/>
        <w:numPr>
          <w:ilvl w:val="0"/>
          <w:numId w:val="21"/>
        </w:numPr>
      </w:pPr>
      <w:r>
        <w:rPr>
          <w:b/>
          <w:bCs/>
        </w:rPr>
        <w:t>Heuristic</w:t>
      </w:r>
      <w:r>
        <w:t>: H6 Recognition rather than recall.</w:t>
      </w:r>
    </w:p>
    <w:p w14:paraId="0E0506F8" w14:textId="77777777" w:rsidR="00BD0A58" w:rsidRDefault="00000000">
      <w:pPr>
        <w:pStyle w:val="Compact"/>
        <w:numPr>
          <w:ilvl w:val="0"/>
          <w:numId w:val="21"/>
        </w:numPr>
      </w:pPr>
      <w:r>
        <w:rPr>
          <w:b/>
          <w:bCs/>
        </w:rPr>
        <w:t>Issue</w:t>
      </w:r>
      <w:r>
        <w:t>: Primary nav hidden; critical paths require menu recall.</w:t>
      </w:r>
    </w:p>
    <w:p w14:paraId="71E8FE9B" w14:textId="77777777" w:rsidR="00BD0A58" w:rsidRDefault="00000000">
      <w:pPr>
        <w:pStyle w:val="Compact"/>
        <w:numPr>
          <w:ilvl w:val="0"/>
          <w:numId w:val="21"/>
        </w:numPr>
      </w:pPr>
      <w:r>
        <w:rPr>
          <w:b/>
          <w:bCs/>
        </w:rPr>
        <w:t>WCAG Link</w:t>
      </w:r>
      <w:r>
        <w:t>: 2.4.4 Link purpose; 1.3.1 Info &amp; relationships.</w:t>
      </w:r>
    </w:p>
    <w:p w14:paraId="127C6816" w14:textId="77777777" w:rsidR="00BD0A58" w:rsidRDefault="00000000">
      <w:pPr>
        <w:pStyle w:val="Compact"/>
        <w:numPr>
          <w:ilvl w:val="0"/>
          <w:numId w:val="21"/>
        </w:numPr>
      </w:pPr>
      <w:r>
        <w:rPr>
          <w:b/>
          <w:bCs/>
        </w:rPr>
        <w:t>Recommendation</w:t>
      </w:r>
      <w:r>
        <w:t>: Expose top tasks; persistent breadcrumbs; in‑page anchors.</w:t>
      </w:r>
    </w:p>
    <w:p w14:paraId="49B1DD7F" w14:textId="77777777" w:rsidR="00BD0A58" w:rsidRDefault="00000000">
      <w:pPr>
        <w:pStyle w:val="Compact"/>
        <w:numPr>
          <w:ilvl w:val="0"/>
          <w:numId w:val="21"/>
        </w:numPr>
      </w:pPr>
      <w:r>
        <w:rPr>
          <w:b/>
          <w:bCs/>
        </w:rPr>
        <w:t>Severity</w:t>
      </w:r>
      <w:r>
        <w:t>: High.</w:t>
      </w:r>
    </w:p>
    <w:p w14:paraId="478B323E" w14:textId="77777777" w:rsidR="00BD0A58" w:rsidRDefault="00000000">
      <w:pPr>
        <w:pStyle w:val="Heading3"/>
      </w:pPr>
      <w:bookmarkStart w:id="30" w:name="wcag-aa-acceptance-tests-manual"/>
      <w:bookmarkEnd w:id="29"/>
      <w:r>
        <w:t>15.4 WCAG AA Acceptance Tests (Manual)</w:t>
      </w:r>
    </w:p>
    <w:p w14:paraId="42135DF3" w14:textId="77777777" w:rsidR="00BD0A58" w:rsidRDefault="00000000">
      <w:pPr>
        <w:pStyle w:val="Compact"/>
        <w:numPr>
          <w:ilvl w:val="0"/>
          <w:numId w:val="22"/>
        </w:numPr>
      </w:pPr>
      <w:r>
        <w:rPr>
          <w:b/>
          <w:bCs/>
        </w:rPr>
        <w:t>Keyboard</w:t>
      </w:r>
      <w:r>
        <w:t>: Tab through entire page; can operate all controls; no traps; visible focus.</w:t>
      </w:r>
    </w:p>
    <w:p w14:paraId="7C07FC8E" w14:textId="77777777" w:rsidR="00BD0A58" w:rsidRDefault="00000000">
      <w:pPr>
        <w:pStyle w:val="Compact"/>
        <w:numPr>
          <w:ilvl w:val="0"/>
          <w:numId w:val="22"/>
        </w:numPr>
      </w:pPr>
      <w:r>
        <w:rPr>
          <w:b/>
          <w:bCs/>
        </w:rPr>
        <w:t>Screen Reader</w:t>
      </w:r>
      <w:r>
        <w:t>: Navigate landmarks, headings, links; form labels read; errors announced; status messages announced.</w:t>
      </w:r>
    </w:p>
    <w:p w14:paraId="5970C626" w14:textId="77777777" w:rsidR="00BD0A58" w:rsidRDefault="00000000">
      <w:pPr>
        <w:pStyle w:val="Compact"/>
        <w:numPr>
          <w:ilvl w:val="0"/>
          <w:numId w:val="22"/>
        </w:numPr>
      </w:pPr>
      <w:r>
        <w:rPr>
          <w:b/>
          <w:bCs/>
        </w:rPr>
        <w:t>Zoom/Reflow</w:t>
      </w:r>
      <w:r>
        <w:t>: 200–400% zoom without horizontal scroll except allowed areas; content readable.</w:t>
      </w:r>
    </w:p>
    <w:p w14:paraId="566E95AA" w14:textId="77777777" w:rsidR="00BD0A58" w:rsidRDefault="00000000">
      <w:pPr>
        <w:pStyle w:val="Compact"/>
        <w:numPr>
          <w:ilvl w:val="0"/>
          <w:numId w:val="22"/>
        </w:numPr>
      </w:pPr>
      <w:r>
        <w:rPr>
          <w:b/>
          <w:bCs/>
        </w:rPr>
        <w:t>Contrast</w:t>
      </w:r>
      <w:r>
        <w:t>: 4.5:1 for body text; 3:1 for UI icons and focus indicators.</w:t>
      </w:r>
    </w:p>
    <w:p w14:paraId="6B70903E" w14:textId="77777777" w:rsidR="00BD0A58" w:rsidRDefault="00000000">
      <w:pPr>
        <w:pStyle w:val="Compact"/>
        <w:numPr>
          <w:ilvl w:val="0"/>
          <w:numId w:val="22"/>
        </w:numPr>
      </w:pPr>
      <w:r>
        <w:rPr>
          <w:b/>
          <w:bCs/>
        </w:rPr>
        <w:t>Motion/Flash</w:t>
      </w:r>
      <w:r>
        <w:t>: No harmful flashing; animations can be reduced/disabled.</w:t>
      </w:r>
    </w:p>
    <w:p w14:paraId="585A9388" w14:textId="77777777" w:rsidR="00BD0A58" w:rsidRDefault="00B30C10">
      <w:r>
        <w:rPr>
          <w:noProof/>
        </w:rPr>
        <w:pict w14:anchorId="090EBCD6">
          <v:rect id="_x0000_i1026" alt="" style="width:468pt;height:.05pt;mso-width-percent:0;mso-height-percent:0;mso-width-percent:0;mso-height-percent:0" o:hralign="center" o:hrstd="t" o:hr="t"/>
        </w:pict>
      </w:r>
    </w:p>
    <w:p w14:paraId="25DAAFBC" w14:textId="77777777" w:rsidR="00BD0A58" w:rsidRDefault="00000000">
      <w:pPr>
        <w:pStyle w:val="Heading2"/>
      </w:pPr>
      <w:bookmarkStart w:id="31" w:name="X3167886a8da6cbba73550a96c49706097eec126"/>
      <w:bookmarkEnd w:id="26"/>
      <w:bookmarkEnd w:id="30"/>
      <w:r>
        <w:t>16) Citations &amp; Source Notes (for further reading)</w:t>
      </w:r>
    </w:p>
    <w:p w14:paraId="51948547" w14:textId="77777777" w:rsidR="00BD0A58" w:rsidRDefault="00000000">
      <w:pPr>
        <w:pStyle w:val="Compact"/>
        <w:numPr>
          <w:ilvl w:val="0"/>
          <w:numId w:val="23"/>
        </w:numPr>
      </w:pPr>
      <w:r>
        <w:t xml:space="preserve">Don Norman, </w:t>
      </w:r>
      <w:r>
        <w:rPr>
          <w:i/>
          <w:iCs/>
        </w:rPr>
        <w:t>The Design of Everyday Things</w:t>
      </w:r>
      <w:r>
        <w:t xml:space="preserve"> (Action Cycle; seven stages; visceral/behavioral/reflective).</w:t>
      </w:r>
    </w:p>
    <w:p w14:paraId="49C9E7A8" w14:textId="77777777" w:rsidR="00BD0A58" w:rsidRDefault="00000000">
      <w:pPr>
        <w:pStyle w:val="Compact"/>
        <w:numPr>
          <w:ilvl w:val="0"/>
          <w:numId w:val="23"/>
        </w:numPr>
      </w:pPr>
      <w:r>
        <w:t>Jakob Nielsen, “10 Usability Heuristics for User Interface Design” (updated 2024).</w:t>
      </w:r>
    </w:p>
    <w:p w14:paraId="61C90354" w14:textId="77777777" w:rsidR="00BD0A58" w:rsidRDefault="00000000">
      <w:pPr>
        <w:pStyle w:val="Compact"/>
        <w:numPr>
          <w:ilvl w:val="0"/>
          <w:numId w:val="23"/>
        </w:numPr>
      </w:pPr>
      <w:r>
        <w:t>Kate Moran &amp; Kelley Gordon, “How to Conduct a Heuristic Evaluation.”</w:t>
      </w:r>
    </w:p>
    <w:p w14:paraId="77918B8C" w14:textId="77777777" w:rsidR="00BD0A58" w:rsidRDefault="00000000">
      <w:pPr>
        <w:pStyle w:val="Compact"/>
        <w:numPr>
          <w:ilvl w:val="0"/>
          <w:numId w:val="23"/>
        </w:numPr>
      </w:pPr>
      <w:r>
        <w:t>Kate Moran, “Usability (User) Testing 101.”</w:t>
      </w:r>
    </w:p>
    <w:p w14:paraId="25A3787D" w14:textId="77777777" w:rsidR="00BD0A58" w:rsidRDefault="00000000">
      <w:pPr>
        <w:pStyle w:val="Compact"/>
        <w:numPr>
          <w:ilvl w:val="0"/>
          <w:numId w:val="23"/>
        </w:numPr>
      </w:pPr>
      <w:r>
        <w:t>Raluca Budiu, “UX Research Methods: Glossary.”</w:t>
      </w:r>
    </w:p>
    <w:p w14:paraId="0B522C34" w14:textId="77777777" w:rsidR="00BD0A58" w:rsidRDefault="00000000">
      <w:pPr>
        <w:pStyle w:val="Compact"/>
        <w:numPr>
          <w:ilvl w:val="0"/>
          <w:numId w:val="23"/>
        </w:numPr>
      </w:pPr>
      <w:r>
        <w:t>Kim Flaherty, “Contextual Inquiry: Inspire Design by Observing and Interviewing Users in Their Context.”</w:t>
      </w:r>
    </w:p>
    <w:p w14:paraId="6A7683BB" w14:textId="77777777" w:rsidR="00BD0A58" w:rsidRDefault="00000000">
      <w:pPr>
        <w:pStyle w:val="Compact"/>
        <w:numPr>
          <w:ilvl w:val="0"/>
          <w:numId w:val="23"/>
        </w:numPr>
      </w:pPr>
      <w:r>
        <w:t>Maria Rosala &amp; Kara Pernice, “User Interviews 101.”</w:t>
      </w:r>
    </w:p>
    <w:p w14:paraId="5FA889A7" w14:textId="77777777" w:rsidR="00BD0A58" w:rsidRDefault="00000000">
      <w:pPr>
        <w:pStyle w:val="Compact"/>
        <w:numPr>
          <w:ilvl w:val="0"/>
          <w:numId w:val="23"/>
        </w:numPr>
      </w:pPr>
      <w:r>
        <w:lastRenderedPageBreak/>
        <w:t>W3C WAI, “WCAG 2 Overview,” and WCAG 2.2 success criteria highlights.</w:t>
      </w:r>
    </w:p>
    <w:p w14:paraId="5FB5BB03" w14:textId="77777777" w:rsidR="00BD0A58" w:rsidRDefault="00000000">
      <w:pPr>
        <w:pStyle w:val="Compact"/>
        <w:numPr>
          <w:ilvl w:val="0"/>
          <w:numId w:val="23"/>
        </w:numPr>
      </w:pPr>
      <w:r>
        <w:t xml:space="preserve">Steve Krug, </w:t>
      </w:r>
      <w:r>
        <w:rPr>
          <w:i/>
          <w:iCs/>
        </w:rPr>
        <w:t>Don’t Make Me Think</w:t>
      </w:r>
      <w:r>
        <w:t xml:space="preserve"> (First Law summary).</w:t>
      </w:r>
    </w:p>
    <w:p w14:paraId="59D438C8" w14:textId="77777777" w:rsidR="00BD0A58" w:rsidRDefault="00000000">
      <w:pPr>
        <w:pStyle w:val="Compact"/>
        <w:numPr>
          <w:ilvl w:val="0"/>
          <w:numId w:val="23"/>
        </w:numPr>
      </w:pPr>
      <w:r>
        <w:t>Contentsquare, “8 different types of usability testing methods …” (method taxonomy &amp; practical notes).</w:t>
      </w:r>
    </w:p>
    <w:p w14:paraId="3D933091" w14:textId="77777777" w:rsidR="00BD0A58" w:rsidRDefault="00000000">
      <w:pPr>
        <w:pStyle w:val="Compact"/>
        <w:numPr>
          <w:ilvl w:val="0"/>
          <w:numId w:val="23"/>
        </w:numPr>
      </w:pPr>
      <w:r>
        <w:t>Josh Griffiths, “Why Inclusion and Accessibility Matter in Software Development” (moral/legal/market framing).</w:t>
      </w:r>
    </w:p>
    <w:p w14:paraId="72790F10" w14:textId="77777777" w:rsidR="00BD0A58" w:rsidRDefault="00B30C10">
      <w:bookmarkStart w:id="32" w:name="action-plan-next-46-weeks"/>
      <w:bookmarkEnd w:id="31"/>
      <w:r>
        <w:rPr>
          <w:noProof/>
        </w:rPr>
        <w:pict w14:anchorId="1030DDCF">
          <v:rect id="_x0000_i1025" alt="" style="width:468pt;height:.05pt;mso-width-percent:0;mso-height-percent:0;mso-width-percent:0;mso-height-percent:0" o:hralign="center" o:hrstd="t" o:hr="t"/>
        </w:pict>
      </w:r>
    </w:p>
    <w:p w14:paraId="2943D951" w14:textId="77777777" w:rsidR="00BD0A58" w:rsidRDefault="00000000">
      <w:pPr>
        <w:pStyle w:val="BlockText"/>
      </w:pPr>
      <w:r>
        <w:rPr>
          <w:b/>
          <w:bCs/>
        </w:rPr>
        <w:t>Use this document as a living research base.</w:t>
      </w:r>
      <w:r>
        <w:t xml:space="preserve"> Add observations, screenshots, and decisions as you evaluate your product so teammates can trace rationale from standards → heuristics → research → design changes.</w:t>
      </w:r>
      <w:bookmarkEnd w:id="0"/>
      <w:bookmarkEnd w:id="32"/>
    </w:p>
    <w:sectPr w:rsidR="00BD0A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4424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380A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126B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A60462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53973446">
    <w:abstractNumId w:val="0"/>
  </w:num>
  <w:num w:numId="2" w16cid:durableId="2108959813">
    <w:abstractNumId w:val="1"/>
  </w:num>
  <w:num w:numId="3" w16cid:durableId="1566404782">
    <w:abstractNumId w:val="1"/>
  </w:num>
  <w:num w:numId="4" w16cid:durableId="1022168074">
    <w:abstractNumId w:val="1"/>
  </w:num>
  <w:num w:numId="5" w16cid:durableId="743796374">
    <w:abstractNumId w:val="1"/>
  </w:num>
  <w:num w:numId="6" w16cid:durableId="1307315213">
    <w:abstractNumId w:val="1"/>
  </w:num>
  <w:num w:numId="7" w16cid:durableId="949122730">
    <w:abstractNumId w:val="1"/>
  </w:num>
  <w:num w:numId="8" w16cid:durableId="1713966347">
    <w:abstractNumId w:val="1"/>
  </w:num>
  <w:num w:numId="9" w16cid:durableId="244728809">
    <w:abstractNumId w:val="1"/>
  </w:num>
  <w:num w:numId="10" w16cid:durableId="2002586672">
    <w:abstractNumId w:val="1"/>
  </w:num>
  <w:num w:numId="11" w16cid:durableId="274603298">
    <w:abstractNumId w:val="1"/>
  </w:num>
  <w:num w:numId="12" w16cid:durableId="349533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967299">
    <w:abstractNumId w:val="1"/>
  </w:num>
  <w:num w:numId="14" w16cid:durableId="979653827">
    <w:abstractNumId w:val="1"/>
  </w:num>
  <w:num w:numId="15" w16cid:durableId="151484645">
    <w:abstractNumId w:val="1"/>
  </w:num>
  <w:num w:numId="16" w16cid:durableId="1646619805">
    <w:abstractNumId w:val="1"/>
  </w:num>
  <w:num w:numId="17" w16cid:durableId="38823146">
    <w:abstractNumId w:val="1"/>
  </w:num>
  <w:num w:numId="18" w16cid:durableId="2088795915">
    <w:abstractNumId w:val="1"/>
  </w:num>
  <w:num w:numId="19" w16cid:durableId="1094396282">
    <w:abstractNumId w:val="1"/>
  </w:num>
  <w:num w:numId="20" w16cid:durableId="1622417673">
    <w:abstractNumId w:val="1"/>
  </w:num>
  <w:num w:numId="21" w16cid:durableId="1596595961">
    <w:abstractNumId w:val="1"/>
  </w:num>
  <w:num w:numId="22" w16cid:durableId="1829250386">
    <w:abstractNumId w:val="1"/>
  </w:num>
  <w:num w:numId="23" w16cid:durableId="256444897">
    <w:abstractNumId w:val="1"/>
  </w:num>
  <w:num w:numId="24" w16cid:durableId="755055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D0A58"/>
    <w:rsid w:val="003606E6"/>
    <w:rsid w:val="00B30C10"/>
    <w:rsid w:val="00B77564"/>
    <w:rsid w:val="00BD0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F681"/>
  <w15:docId w15:val="{7C58615F-D899-E341-ADE3-FB4F48F17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2753</Words>
  <Characters>15697</Characters>
  <Application>Microsoft Office Word</Application>
  <DocSecurity>0</DocSecurity>
  <Lines>130</Lines>
  <Paragraphs>36</Paragraphs>
  <ScaleCrop>false</ScaleCrop>
  <Company/>
  <LinksUpToDate>false</LinksUpToDate>
  <CharactersWithSpaces>18414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Mihir Ulhas Mahale</cp:lastModifiedBy>
  <cp:revision>2</cp:revision>
  <dcterms:created xsi:type="dcterms:W3CDTF">2025-11-11T05:31:00Z</dcterms:created>
  <dcterms:modified xsi:type="dcterms:W3CDTF">2025-11-11T05:48:00Z</dcterms:modified>
</cp:coreProperties>
</file>