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85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center"/>
        <w:textAlignment w:val="auto"/>
        <w:rPr>
          <w:rFonts w:ascii="FangSong" w:hAnsi="FangSong" w:eastAsia="仿宋"/>
          <w:color w:val="000000" w:themeColor="text1"/>
          <w:sz w:val="44"/>
          <w:szCs w:val="40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44"/>
          <w:szCs w:val="40"/>
          <w14:textFill>
            <w14:solidFill>
              <w14:schemeClr w14:val="tx1"/>
            </w14:solidFill>
          </w14:textFill>
        </w:rPr>
        <w:t>实验一：Web 服务实现与 WSDL 生成</w:t>
      </w:r>
    </w:p>
    <w:p w14:paraId="7CB963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sz w:val="32"/>
          <w:szCs w:val="32"/>
        </w:rPr>
      </w:pPr>
      <w:r>
        <w:rPr>
          <w:rFonts w:ascii="FangSong" w:hAnsi="FangSong" w:eastAsia="仿宋"/>
          <w:color w:val="000000" w:themeColor="text1"/>
          <w:sz w:val="44"/>
          <w:szCs w:val="32"/>
          <w14:textFill>
            <w14:solidFill>
              <w14:schemeClr w14:val="tx1"/>
            </w14:solidFill>
          </w14:textFill>
        </w:rPr>
        <w:t>说明文档</w:t>
      </w:r>
    </w:p>
    <w:p w14:paraId="219F52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sz w:val="32"/>
          <w:szCs w:val="32"/>
        </w:rPr>
      </w:pPr>
    </w:p>
    <w:p w14:paraId="4017C95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一、实验目的及主要内容</w:t>
      </w:r>
    </w:p>
    <w:p w14:paraId="6D9504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实现一个 Web 服务，生成对应的 WSDL 描述文件；基于接口调用相应的 operations，验证服务计算中基于接口调用服务的基本机制。</w:t>
      </w:r>
    </w:p>
    <w:p w14:paraId="52CCDA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F48C64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二、实验类型</w:t>
      </w:r>
    </w:p>
    <w:p w14:paraId="029754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演示性实验。</w:t>
      </w:r>
    </w:p>
    <w:p w14:paraId="1CC15D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3BC04C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三、实验环境与工具平台（备注）</w:t>
      </w:r>
    </w:p>
    <w:p w14:paraId="277AD8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开发语言：Java；</w:t>
      </w:r>
    </w:p>
    <w:p w14:paraId="72C555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开发工具：IntelliJ IDEA（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2020</w:t>
      </w: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）；</w:t>
      </w:r>
    </w:p>
    <w:p w14:paraId="5F263E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JDK：Zulu OpenJDK 8（ARM64）；</w:t>
      </w:r>
    </w:p>
    <w:p w14:paraId="50D429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Web 服务技术：JAX-WS（SOAP/WSDL）。</w:t>
      </w:r>
    </w:p>
    <w:p w14:paraId="2DFF8A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418315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四、实验设计说明</w:t>
      </w:r>
    </w:p>
    <w:p w14:paraId="420043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default" w:ascii="FangSong" w:hAnsi="FangSong" w:eastAsia="仿宋"/>
          <w:sz w:val="32"/>
          <w:szCs w:val="32"/>
          <w:lang w:val="en-US" w:eastAsia="zh-CN"/>
        </w:rPr>
      </w:pPr>
      <w:r>
        <w:rPr>
          <w:rFonts w:hint="eastAsia" w:ascii="FangSong" w:hAnsi="FangSong" w:eastAsia="仿宋"/>
          <w:sz w:val="32"/>
          <w:szCs w:val="32"/>
          <w:lang w:val="en-US" w:eastAsia="zh-CN"/>
        </w:rPr>
        <w:t>4.1 设计的业务背景</w:t>
      </w:r>
    </w:p>
    <w:p w14:paraId="0D30C1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  <w:r>
        <w:rPr>
          <w:rFonts w:ascii="FangSong" w:hAnsi="FangSong" w:eastAsia="仿宋"/>
          <w:sz w:val="32"/>
          <w:szCs w:val="32"/>
        </w:rPr>
        <w:t>本实验选取试飞数据分析作为业务背景，该类业务</w:t>
      </w:r>
      <w:r>
        <w:rPr>
          <w:rFonts w:hint="eastAsia" w:ascii="FangSong" w:hAnsi="FangSong" w:eastAsia="仿宋"/>
          <w:sz w:val="32"/>
          <w:szCs w:val="32"/>
          <w:lang w:val="en-US" w:eastAsia="zh-CN"/>
        </w:rPr>
        <w:t>可拆分为</w:t>
      </w:r>
      <w:r>
        <w:rPr>
          <w:rFonts w:ascii="FangSong" w:hAnsi="FangSong" w:eastAsia="仿宋"/>
          <w:sz w:val="32"/>
          <w:szCs w:val="32"/>
        </w:rPr>
        <w:t>“数据获取—计算分析—结果输出”的清晰流程，适合用于抽象服务接口并验证基于接口的服务调用机制。</w:t>
      </w:r>
    </w:p>
    <w:p w14:paraId="73B5FA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  <w:r>
        <w:rPr>
          <w:rFonts w:ascii="FangSong" w:hAnsi="FangSong" w:eastAsia="仿宋"/>
          <w:sz w:val="32"/>
          <w:szCs w:val="32"/>
        </w:rPr>
        <w:t>将业务</w:t>
      </w:r>
      <w:r>
        <w:rPr>
          <w:rFonts w:hint="eastAsia" w:ascii="FangSong" w:hAnsi="FangSong" w:eastAsia="仿宋"/>
          <w:sz w:val="32"/>
          <w:szCs w:val="32"/>
          <w:lang w:val="en-US" w:eastAsia="zh-CN"/>
        </w:rPr>
        <w:t>服务</w:t>
      </w:r>
      <w:r>
        <w:rPr>
          <w:rFonts w:ascii="FangSong" w:hAnsi="FangSong" w:eastAsia="仿宋"/>
          <w:sz w:val="32"/>
          <w:szCs w:val="32"/>
        </w:rPr>
        <w:t>拆分为数据服务与分析服务两个独立服务：数据服务负责数据标识管理与结果获取，分析服务负责具体计算逻辑。划分</w:t>
      </w:r>
      <w:r>
        <w:rPr>
          <w:rFonts w:hint="eastAsia" w:ascii="FangSong" w:hAnsi="FangSong" w:eastAsia="仿宋"/>
          <w:sz w:val="32"/>
          <w:szCs w:val="32"/>
          <w:lang w:val="en-US" w:eastAsia="zh-CN"/>
        </w:rPr>
        <w:t>能够</w:t>
      </w:r>
      <w:r>
        <w:rPr>
          <w:rFonts w:ascii="FangSong" w:hAnsi="FangSong" w:eastAsia="仿宋"/>
          <w:sz w:val="32"/>
          <w:szCs w:val="32"/>
        </w:rPr>
        <w:t>符合服务计算中“职责单一、接口清晰”的设计原则，同时为后续</w:t>
      </w:r>
      <w:r>
        <w:rPr>
          <w:rFonts w:hint="eastAsia" w:ascii="FangSong" w:hAnsi="FangSong" w:eastAsia="仿宋"/>
          <w:b/>
          <w:bCs/>
          <w:sz w:val="32"/>
          <w:szCs w:val="32"/>
          <w:lang w:val="en-US" w:eastAsia="zh-CN"/>
        </w:rPr>
        <w:t>实验二</w:t>
      </w:r>
      <w:r>
        <w:rPr>
          <w:rFonts w:ascii="FangSong" w:hAnsi="FangSong" w:eastAsia="仿宋"/>
          <w:b/>
          <w:bCs/>
          <w:sz w:val="32"/>
          <w:szCs w:val="32"/>
        </w:rPr>
        <w:t>服务组合与流程编排实验</w:t>
      </w:r>
      <w:r>
        <w:rPr>
          <w:rFonts w:hint="eastAsia" w:ascii="FangSong" w:hAnsi="FangSong" w:eastAsia="仿宋"/>
          <w:b/>
          <w:bCs/>
          <w:sz w:val="32"/>
          <w:szCs w:val="32"/>
          <w:lang w:val="en-US" w:eastAsia="zh-CN"/>
        </w:rPr>
        <w:t>要求</w:t>
      </w:r>
      <w:r>
        <w:rPr>
          <w:rFonts w:ascii="FangSong" w:hAnsi="FangSong" w:eastAsia="仿宋"/>
          <w:sz w:val="32"/>
          <w:szCs w:val="32"/>
        </w:rPr>
        <w:t>提供可扩展的服务边界。</w:t>
      </w:r>
    </w:p>
    <w:p w14:paraId="04AA38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</w:p>
    <w:p w14:paraId="0C2A65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default" w:ascii="FangSong" w:hAnsi="FangSong" w:eastAsia="仿宋"/>
          <w:sz w:val="32"/>
          <w:szCs w:val="32"/>
          <w:lang w:val="en-US" w:eastAsia="zh-CN"/>
        </w:rPr>
      </w:pPr>
      <w:r>
        <w:rPr>
          <w:rFonts w:hint="eastAsia" w:ascii="FangSong" w:hAnsi="FangSong" w:eastAsia="仿宋"/>
          <w:sz w:val="32"/>
          <w:szCs w:val="32"/>
          <w:lang w:val="en-US" w:eastAsia="zh-CN"/>
        </w:rPr>
        <w:t>4.2 服务实现</w:t>
      </w:r>
    </w:p>
    <w:p w14:paraId="3CF378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  <w:r>
        <w:rPr>
          <w:rFonts w:hint="eastAsia" w:ascii="FangSong" w:hAnsi="FangSong" w:eastAsia="仿宋"/>
          <w:sz w:val="32"/>
          <w:szCs w:val="32"/>
          <w:lang w:val="en-US" w:eastAsia="zh-CN"/>
        </w:rPr>
        <w:t>服务实现为</w:t>
      </w:r>
      <w:r>
        <w:rPr>
          <w:rFonts w:ascii="FangSong" w:hAnsi="FangSong" w:eastAsia="仿宋"/>
          <w:sz w:val="32"/>
          <w:szCs w:val="32"/>
        </w:rPr>
        <w:t>围绕数据分析业务抽象服务接口，采用面向接口的服务设计方式。通过定义清晰的服务操作及输入输出参数，将服务实现与调用解耦，以 WSDL 作为统一服务描述，实现服务的发布与调用验证。</w:t>
      </w:r>
    </w:p>
    <w:p w14:paraId="2CBF06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  <w:r>
        <w:rPr>
          <w:rFonts w:hint="default" w:ascii="FangSong" w:hAnsi="FangSong" w:eastAsia="仿宋"/>
          <w:sz w:val="32"/>
          <w:szCs w:val="32"/>
          <w:lang w:val="en-US" w:eastAsia="zh-CN"/>
        </w:rPr>
        <w:t>服务端与客户端工程</w:t>
      </w:r>
      <w:r>
        <w:rPr>
          <w:rFonts w:hint="eastAsia" w:ascii="FangSong" w:hAnsi="FangSong" w:eastAsia="仿宋"/>
          <w:sz w:val="32"/>
          <w:szCs w:val="32"/>
          <w:lang w:val="en-US" w:eastAsia="zh-CN"/>
        </w:rPr>
        <w:t>代码目录如下：</w:t>
      </w:r>
    </w:p>
    <w:p w14:paraId="746C45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eastAsia" w:ascii="FangSong" w:hAnsi="FangSong" w:eastAsia="仿宋"/>
          <w:sz w:val="32"/>
          <w:szCs w:val="32"/>
          <w:lang w:eastAsia="zh-CN"/>
        </w:rPr>
      </w:pPr>
      <w:r>
        <w:rPr>
          <w:rFonts w:hint="eastAsia" w:ascii="FangSong" w:hAnsi="FangSong" w:eastAsia="仿宋"/>
          <w:sz w:val="32"/>
          <w:szCs w:val="32"/>
          <w:lang w:eastAsia="zh-CN"/>
        </w:rPr>
        <w:drawing>
          <wp:inline distT="0" distB="0" distL="114300" distR="114300">
            <wp:extent cx="5229225" cy="3990975"/>
            <wp:effectExtent l="0" t="0" r="3175" b="22225"/>
            <wp:docPr id="1" name="图片 1" descr="截屏2025-12-18 15.36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18 15.36.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87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</w:p>
    <w:p w14:paraId="12DE10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sz w:val="32"/>
          <w:szCs w:val="32"/>
        </w:rPr>
      </w:pPr>
      <w:r>
        <w:rPr>
          <w:rFonts w:hint="eastAsia" w:ascii="FangSong" w:hAnsi="FangSong" w:eastAsia="仿宋"/>
          <w:sz w:val="32"/>
          <w:szCs w:val="32"/>
          <w:lang w:val="en-US" w:eastAsia="zh-CN"/>
        </w:rPr>
        <w:t>其中，</w:t>
      </w:r>
      <w:r>
        <w:rPr>
          <w:rFonts w:hint="default" w:ascii="FangSong" w:hAnsi="FangSong" w:eastAsia="仿宋"/>
          <w:sz w:val="32"/>
          <w:szCs w:val="32"/>
          <w:lang w:val="en-US" w:eastAsia="zh-CN"/>
        </w:rPr>
        <w:t>flightdata-service：用于发布 Web Service（FlightDataService），生成对应的 WSDL 描述文件；</w:t>
      </w:r>
    </w:p>
    <w:p w14:paraId="1D77FF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default" w:ascii="FangSong" w:hAnsi="FangSong" w:eastAsia="仿宋"/>
          <w:sz w:val="32"/>
          <w:szCs w:val="32"/>
        </w:rPr>
      </w:pPr>
      <w:r>
        <w:rPr>
          <w:rFonts w:hint="default" w:ascii="FangSong" w:hAnsi="FangSong" w:eastAsia="仿宋"/>
          <w:sz w:val="32"/>
          <w:szCs w:val="32"/>
          <w:lang w:val="en-US" w:eastAsia="zh-CN"/>
        </w:rPr>
        <w:t>flightdata-client：作为服务调用方，基于 WSDL 接口调用服务的各个 operations，用于验证服务调用过程。</w:t>
      </w:r>
    </w:p>
    <w:p w14:paraId="358D1D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sz w:val="32"/>
          <w:szCs w:val="32"/>
        </w:rPr>
      </w:pPr>
    </w:p>
    <w:p w14:paraId="1278BE0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五、实验步骤说明</w:t>
      </w:r>
    </w:p>
    <w:p w14:paraId="5741CD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1）创建 Java Web Service 项目并配置 Java 8 运行环境；</w:t>
      </w:r>
    </w:p>
    <w:p w14:paraId="0F0500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2）定义 Web Service 接口与实现类；</w:t>
      </w:r>
    </w:p>
    <w:p w14:paraId="722052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3）使用 JAX-WS 发布服务；</w:t>
      </w:r>
    </w:p>
    <w:p w14:paraId="1C18C9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4）启动服务并监听本地地址；</w:t>
      </w:r>
    </w:p>
    <w:p w14:paraId="1BDA47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5）访问 wsdl 获取服务描述；</w:t>
      </w:r>
    </w:p>
    <w:p w14:paraId="370AFB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6）基于接口调用各 operations 并验证结果。</w:t>
      </w:r>
    </w:p>
    <w:p w14:paraId="55BD7A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02FDA9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六、服务设计</w:t>
      </w:r>
    </w:p>
    <w:p w14:paraId="63A03B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FlightDataService 用于试飞数据分析过程中对数据读取、分析结果管理及任务状态查询的服务支持，主要提供以下四个操作：</w:t>
      </w:r>
    </w:p>
    <w:p w14:paraId="2CB96E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D38DD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 readFlightData用于读取指定试飞任务的飞行数据。</w:t>
      </w:r>
    </w:p>
    <w:tbl>
      <w:tblPr>
        <w:tblStyle w:val="35"/>
        <w:tblpPr w:leftFromText="180" w:rightFromText="180" w:vertAnchor="text" w:horzAnchor="page" w:tblpX="1785" w:tblpY="4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6897"/>
      </w:tblGrid>
      <w:tr w14:paraId="4F5198EB">
        <w:tc>
          <w:tcPr>
            <w:tcW w:w="1959" w:type="dxa"/>
          </w:tcPr>
          <w:p w14:paraId="034B37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入参</w:t>
            </w:r>
          </w:p>
        </w:tc>
        <w:tc>
          <w:tcPr>
            <w:tcW w:w="6897" w:type="dxa"/>
          </w:tcPr>
          <w:p w14:paraId="00B865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missionId：试飞任务的唯一标识</w:t>
            </w:r>
          </w:p>
        </w:tc>
      </w:tr>
      <w:tr w14:paraId="5B0F5963">
        <w:tc>
          <w:tcPr>
            <w:tcW w:w="1959" w:type="dxa"/>
          </w:tcPr>
          <w:p w14:paraId="4CC7C1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6897" w:type="dxa"/>
          </w:tcPr>
          <w:p w14:paraId="1AC0E5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根据试飞任务标识读取对应的试飞数据，并启动相关的数据处理流程。</w:t>
            </w:r>
          </w:p>
        </w:tc>
      </w:tr>
      <w:tr w14:paraId="12A72A92">
        <w:tc>
          <w:tcPr>
            <w:tcW w:w="1959" w:type="dxa"/>
          </w:tcPr>
          <w:p w14:paraId="14C3BA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返回结果</w:t>
            </w:r>
          </w:p>
        </w:tc>
        <w:tc>
          <w:tcPr>
            <w:tcW w:w="6897" w:type="dxa"/>
          </w:tcPr>
          <w:p w14:paraId="6C5A20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返回任务执行状态信息，用于标识当前操作是否成功或正在执行。</w:t>
            </w:r>
          </w:p>
        </w:tc>
      </w:tr>
    </w:tbl>
    <w:p w14:paraId="7BAC50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011A3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 saveAnalysisResults用于保存试飞数据分析结果。</w:t>
      </w:r>
    </w:p>
    <w:tbl>
      <w:tblPr>
        <w:tblStyle w:val="35"/>
        <w:tblpPr w:leftFromText="180" w:rightFromText="180" w:vertAnchor="text" w:horzAnchor="page" w:tblpX="1785" w:tblpY="4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6897"/>
      </w:tblGrid>
      <w:tr w14:paraId="7CE02B60">
        <w:tc>
          <w:tcPr>
            <w:tcW w:w="1959" w:type="dxa"/>
          </w:tcPr>
          <w:p w14:paraId="0919DE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入参</w:t>
            </w:r>
          </w:p>
        </w:tc>
        <w:tc>
          <w:tcPr>
            <w:tcW w:w="6897" w:type="dxa"/>
          </w:tcPr>
          <w:p w14:paraId="135067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analysisId：分析任务的唯一标识</w:t>
            </w:r>
          </w:p>
          <w:p w14:paraId="3EB635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results：分析计算得到的结果数据</w:t>
            </w:r>
          </w:p>
        </w:tc>
      </w:tr>
      <w:tr w14:paraId="7D8502EC">
        <w:tc>
          <w:tcPr>
            <w:tcW w:w="1959" w:type="dxa"/>
          </w:tcPr>
          <w:p w14:paraId="7165C2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6897" w:type="dxa"/>
          </w:tcPr>
          <w:p w14:paraId="7A38AD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将分析计算得到的结果保存至系统中，供后续查询或使用。</w:t>
            </w:r>
          </w:p>
        </w:tc>
      </w:tr>
      <w:tr w14:paraId="68A9E4C4">
        <w:tc>
          <w:tcPr>
            <w:tcW w:w="1959" w:type="dxa"/>
          </w:tcPr>
          <w:p w14:paraId="4C25F9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返回结果</w:t>
            </w:r>
          </w:p>
        </w:tc>
        <w:tc>
          <w:tcPr>
            <w:tcW w:w="6897" w:type="dxa"/>
          </w:tcPr>
          <w:p w14:paraId="2BE572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返回任务执行状态信息，用于确认结果保存操作的执行状态。</w:t>
            </w:r>
          </w:p>
        </w:tc>
      </w:tr>
    </w:tbl>
    <w:p w14:paraId="039D09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2FD21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 getAnalysisResults用于获取已保存的分析结果。</w:t>
      </w:r>
    </w:p>
    <w:tbl>
      <w:tblPr>
        <w:tblStyle w:val="35"/>
        <w:tblpPr w:leftFromText="180" w:rightFromText="180" w:vertAnchor="text" w:horzAnchor="page" w:tblpX="1785" w:tblpY="4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6897"/>
      </w:tblGrid>
      <w:tr w14:paraId="46AEC513">
        <w:tc>
          <w:tcPr>
            <w:tcW w:w="1959" w:type="dxa"/>
          </w:tcPr>
          <w:p w14:paraId="6E92E5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入参</w:t>
            </w:r>
          </w:p>
        </w:tc>
        <w:tc>
          <w:tcPr>
            <w:tcW w:w="6897" w:type="dxa"/>
          </w:tcPr>
          <w:p w14:paraId="7BD2E0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analysisId：分析任务的唯一标识</w:t>
            </w:r>
          </w:p>
        </w:tc>
      </w:tr>
      <w:tr w14:paraId="3F3A3488">
        <w:tc>
          <w:tcPr>
            <w:tcW w:w="1959" w:type="dxa"/>
          </w:tcPr>
          <w:p w14:paraId="6D0D51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6897" w:type="dxa"/>
          </w:tcPr>
          <w:p w14:paraId="5AA11B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根据分析任务标识查询并返回对应的分析结果数据。</w:t>
            </w:r>
          </w:p>
        </w:tc>
      </w:tr>
      <w:tr w14:paraId="3702E061">
        <w:tc>
          <w:tcPr>
            <w:tcW w:w="1959" w:type="dxa"/>
          </w:tcPr>
          <w:p w14:paraId="449AC4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返回结果</w:t>
            </w:r>
          </w:p>
        </w:tc>
        <w:tc>
          <w:tcPr>
            <w:tcW w:w="6897" w:type="dxa"/>
          </w:tcPr>
          <w:p w14:paraId="597801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返回指定分析任务的分析结果。</w:t>
            </w:r>
          </w:p>
        </w:tc>
      </w:tr>
    </w:tbl>
    <w:p w14:paraId="71637C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D26F0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 checkTaskStatus用于查询任务执行状态。</w:t>
      </w:r>
    </w:p>
    <w:tbl>
      <w:tblPr>
        <w:tblStyle w:val="35"/>
        <w:tblpPr w:leftFromText="180" w:rightFromText="180" w:vertAnchor="text" w:horzAnchor="page" w:tblpX="1785" w:tblpY="4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6897"/>
      </w:tblGrid>
      <w:tr w14:paraId="10787059">
        <w:tc>
          <w:tcPr>
            <w:tcW w:w="1959" w:type="dxa"/>
          </w:tcPr>
          <w:p w14:paraId="4B86B9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入参</w:t>
            </w:r>
          </w:p>
        </w:tc>
        <w:tc>
          <w:tcPr>
            <w:tcW w:w="6897" w:type="dxa"/>
          </w:tcPr>
          <w:p w14:paraId="096B34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taskId：任务的唯一标识</w:t>
            </w:r>
          </w:p>
        </w:tc>
      </w:tr>
      <w:tr w14:paraId="2597BBA5">
        <w:tc>
          <w:tcPr>
            <w:tcW w:w="1959" w:type="dxa"/>
          </w:tcPr>
          <w:p w14:paraId="5455F6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6897" w:type="dxa"/>
          </w:tcPr>
          <w:p w14:paraId="4452C1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查询指定任务的当前执行状态，用于判断任务是否完成或处于执行过程中。</w:t>
            </w:r>
          </w:p>
        </w:tc>
      </w:tr>
      <w:tr w14:paraId="165073D7">
        <w:tc>
          <w:tcPr>
            <w:tcW w:w="1959" w:type="dxa"/>
          </w:tcPr>
          <w:p w14:paraId="182A8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返回结果</w:t>
            </w:r>
          </w:p>
        </w:tc>
        <w:tc>
          <w:tcPr>
            <w:tcW w:w="6897" w:type="dxa"/>
          </w:tcPr>
          <w:p w14:paraId="20E030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FangSong" w:hAnsi="FangSong" w:eastAsia="仿宋"/>
                <w:color w:val="000000" w:themeColor="text1"/>
                <w:sz w:val="32"/>
                <w:szCs w:val="32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FangSong" w:hAnsi="FangSong" w:eastAsia="仿宋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返回任务当前的状态信息。</w:t>
            </w:r>
          </w:p>
        </w:tc>
      </w:tr>
    </w:tbl>
    <w:p w14:paraId="0E52F0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83BDD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0D33C7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firstLine="723" w:firstLineChars="200"/>
        <w:textAlignment w:val="auto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FangSong" w:hAnsi="FangSong" w:eastAsia="仿宋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七、实验结果与总结</w:t>
      </w:r>
    </w:p>
    <w:p w14:paraId="368533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FangSong" w:hAnsi="FangSong" w:eastAsia="仿宋"/>
          <w:sz w:val="32"/>
          <w:szCs w:val="32"/>
          <w:lang w:val="en-US" w:eastAsia="zh-CN"/>
        </w:rPr>
        <w:t>flightdata-service</w:t>
      </w: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服务成功发布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启动日志如下：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0050" cy="899160"/>
            <wp:effectExtent l="0" t="0" r="6350" b="15240"/>
            <wp:docPr id="2" name="图片 2" descr="截屏2025-12-18 15.50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18 15.50.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32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default" w:ascii="FangSong" w:hAnsi="FangSong" w:eastAsia="仿宋"/>
          <w:sz w:val="32"/>
          <w:szCs w:val="32"/>
          <w:lang w:val="en-US" w:eastAsia="zh-CN"/>
        </w:rPr>
      </w:pPr>
    </w:p>
    <w:p w14:paraId="6A6BCD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default" w:ascii="FangSong" w:hAnsi="FangSong" w:eastAsia="仿宋"/>
          <w:sz w:val="32"/>
          <w:szCs w:val="32"/>
          <w:lang w:val="en-US" w:eastAsia="zh-CN"/>
        </w:rPr>
      </w:pPr>
    </w:p>
    <w:p w14:paraId="01E1A8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FangSong" w:hAnsi="FangSong" w:eastAsia="仿宋"/>
          <w:sz w:val="32"/>
          <w:szCs w:val="32"/>
          <w:lang w:val="en-US" w:eastAsia="zh-CN"/>
        </w:rPr>
        <w:t>flightdata-service</w:t>
      </w: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服务生成 WSDL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如下：</w:t>
      </w:r>
    </w:p>
    <w:p w14:paraId="53F256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2430" cy="5512435"/>
            <wp:effectExtent l="0" t="0" r="13970" b="24765"/>
            <wp:docPr id="3" name="图片 3" descr="screencapture-localhost-8080-FlightDataService-2025-12-19-10_34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capture-localhost-8080-FlightDataService-2025-12-19-10_34_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C1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A0B83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lightData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-c</w:t>
      </w:r>
      <w:r>
        <w:rPr>
          <w:rFonts w:hint="default"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lient</w:t>
      </w:r>
      <w:r>
        <w:rPr>
          <w:rFonts w:hint="eastAsia" w:ascii="FangSong" w:hAnsi="FangSong" w:eastAsia="仿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服务</w:t>
      </w: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可按接口调用各</w:t>
      </w:r>
      <w:r>
        <w:rPr>
          <w:rFonts w:hint="default" w:ascii="FangSong" w:hAnsi="FangSong" w:eastAsia="仿宋"/>
          <w:sz w:val="32"/>
          <w:szCs w:val="32"/>
          <w:lang w:val="en-US" w:eastAsia="zh-CN"/>
        </w:rPr>
        <w:t>flightdata-service</w:t>
      </w:r>
      <w:r>
        <w:rPr>
          <w:rFonts w:ascii="FangSong" w:hAnsi="FangSong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服务operations；验证了接口与实现解耦，为后续服务组合实验提供基础。</w:t>
      </w:r>
      <w:bookmarkStart w:id="0" w:name="_GoBack"/>
      <w:bookmarkEnd w:id="0"/>
    </w:p>
    <w:p w14:paraId="22CA9F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firstLine="640" w:firstLineChars="200"/>
        <w:textAlignment w:val="auto"/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FangSong" w:hAnsi="FangSong" w:eastAsia="仿宋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5130" cy="3926205"/>
            <wp:effectExtent l="0" t="0" r="1270" b="10795"/>
            <wp:docPr id="5" name="图片 5" descr="截屏2025-12-19 10.3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2-19 10.36.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A51295"/>
    <w:rsid w:val="3EA6225D"/>
    <w:rsid w:val="5BFD50E6"/>
    <w:rsid w:val="767FEBB6"/>
    <w:rsid w:val="7B7B426A"/>
    <w:rsid w:val="7EF9BAD9"/>
    <w:rsid w:val="7EFF8CF6"/>
    <w:rsid w:val="7FF66EE7"/>
    <w:rsid w:val="EFF3DDEC"/>
    <w:rsid w:val="F7F79668"/>
    <w:rsid w:val="F9D90992"/>
    <w:rsid w:val="FBF7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28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胡晓璐</cp:lastModifiedBy>
  <dcterms:modified xsi:type="dcterms:W3CDTF">2025-12-19T10:47:08Z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8B58DC0F5D4254D1565A4369B1FA25D9_42</vt:lpwstr>
  </property>
</Properties>
</file>