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color w:val="0F766E"/>
          <w:sz w:val="56"/>
        </w:rPr>
        <w:t>Customer Churn Prediction</w:t>
        <w:br/>
        <w:t>Using Machine Learning</w:t>
      </w:r>
    </w:p>
    <w:p>
      <w:pPr>
        <w:spacing w:after="480"/>
        <w:jc w:val="center"/>
      </w:pPr>
      <w:r>
        <w:rPr>
          <w:color w:val="374151"/>
          <w:sz w:val="28"/>
        </w:rPr>
        <w:t>CS280 / CS485 Introduction to Artificial Intelligence Lab Project</w:t>
      </w:r>
    </w:p>
    <w:tbl>
      <w:tblPr>
        <w:tblW w:type="auto" w:w="0"/>
        <w:tblLayout w:type="autofit"/>
        <w:tblLook w:firstColumn="1" w:firstRow="1" w:lastColumn="0" w:lastRow="0" w:noHBand="0" w:noVBand="1" w:val="04A0"/>
      </w:tblPr>
      <w:tblGrid>
        <w:gridCol w:w="9972"/>
      </w:tblGrid>
      <w:tr>
        <w:tc>
          <w:tcPr>
            <w:tcW w:type="dxa" w:w="9972"/>
            <w:shd w:fill="F0FDFA"/>
            <w:tcBorders>
              <w:top w:val="single" w:sz="16" w:space="0" w:color="0F766E"/>
              <w:left w:val="single" w:sz="16" w:space="0" w:color="0F766E"/>
              <w:bottom w:val="single" w:sz="16" w:space="0" w:color="0F766E"/>
              <w:right w:val="single" w:sz="16" w:space="0" w:color="0F766E"/>
            </w:tcBorders>
            <w:tcMar>
              <w:top w:w="180" w:type="dxa"/>
              <w:start w:w="180" w:type="dxa"/>
              <w:bottom w:w="180" w:type="dxa"/>
              <w:end w:w="180" w:type="dxa"/>
            </w:tcMar>
          </w:tcPr>
          <w:p>
            <w:pPr>
              <w:spacing w:after="80"/>
            </w:pPr>
            <w:r>
              <w:rPr>
                <w:b/>
                <w:color w:val="0F766E"/>
              </w:rPr>
              <w:t>Project Summary</w:t>
            </w:r>
          </w:p>
          <w:p>
            <w:pPr>
              <w:spacing w:after="0"/>
            </w:pPr>
            <w:r>
              <w:t>This report documents a supervised machine learning workflow for predicting customer churn, comparing three distinct models, selecting a final model using scientific evaluation, and presenting the result through a Streamlit decision-support dashboard.</w:t>
            </w:r>
          </w:p>
        </w:tc>
      </w:tr>
    </w:tbl>
    <w:p>
      <w:pPr>
        <w:spacing w:after="40"/>
      </w:pPr>
    </w:p>
    <w:tbl>
      <w:tblPr>
        <w:tblStyle w:val="TableGrid"/>
        <w:tblW w:type="auto" w:w="0"/>
        <w:tblLook w:firstColumn="1" w:firstRow="1" w:lastColumn="0" w:lastRow="0" w:noHBand="0" w:noVBand="1" w:val="04A0"/>
      </w:tblPr>
      <w:tblGrid>
        <w:gridCol w:w="4986"/>
        <w:gridCol w:w="4986"/>
      </w:tblGrid>
      <w:tr>
        <w:trPr>
          <w:tblHeader w:val="true"/>
        </w:trPr>
        <w:tc>
          <w:tcPr>
            <w:tcW w:type="dxa" w:w="2381"/>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shd w:fill="0F766E"/>
          </w:tcPr>
          <w:p>
            <w:pPr>
              <w:spacing w:after="0"/>
            </w:pPr>
            <w:r>
              <w:rPr>
                <w:b/>
                <w:color w:val="FFFFFF"/>
                <w:sz w:val="18"/>
              </w:rPr>
              <w:t>Item</w:t>
            </w:r>
          </w:p>
        </w:tc>
        <w:tc>
          <w:tcPr>
            <w:tcW w:type="dxa" w:w="6520"/>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shd w:fill="0F766E"/>
          </w:tcPr>
          <w:p>
            <w:pPr>
              <w:spacing w:after="0"/>
            </w:pPr>
            <w:r>
              <w:rPr>
                <w:b/>
                <w:color w:val="FFFFFF"/>
                <w:sz w:val="18"/>
              </w:rPr>
              <w:t>Description</w:t>
            </w:r>
          </w:p>
        </w:tc>
      </w:tr>
      <w:tr>
        <w:tc>
          <w:tcPr>
            <w:tcW w:type="dxa" w:w="2381"/>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Project Topic</w:t>
            </w:r>
          </w:p>
        </w:tc>
        <w:tc>
          <w:tcPr>
            <w:tcW w:type="dxa" w:w="6520"/>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Customer Churn Prediction using supervised machine learning</w:t>
            </w:r>
          </w:p>
        </w:tc>
      </w:tr>
      <w:tr>
        <w:tc>
          <w:tcPr>
            <w:tcW w:type="dxa" w:w="2381"/>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Target Variable</w:t>
            </w:r>
          </w:p>
        </w:tc>
        <w:tc>
          <w:tcPr>
            <w:tcW w:type="dxa" w:w="6520"/>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Churn</w:t>
            </w:r>
          </w:p>
        </w:tc>
      </w:tr>
      <w:tr>
        <w:tc>
          <w:tcPr>
            <w:tcW w:type="dxa" w:w="2381"/>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Model Families</w:t>
            </w:r>
          </w:p>
        </w:tc>
        <w:tc>
          <w:tcPr>
            <w:tcW w:type="dxa" w:w="6520"/>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Logistic Regression, K-Nearest Neighbors, Random Forest Classifier</w:t>
            </w:r>
          </w:p>
        </w:tc>
      </w:tr>
      <w:tr>
        <w:tc>
          <w:tcPr>
            <w:tcW w:type="dxa" w:w="2381"/>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Deliverables</w:t>
            </w:r>
          </w:p>
        </w:tc>
        <w:tc>
          <w:tcPr>
            <w:tcW w:type="dxa" w:w="6520"/>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Executable notebook, Streamlit dashboard, saved model artifacts, report</w:t>
            </w:r>
          </w:p>
        </w:tc>
      </w:tr>
      <w:tr>
        <w:tc>
          <w:tcPr>
            <w:tcW w:type="dxa" w:w="2381"/>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Prepared For</w:t>
            </w:r>
          </w:p>
        </w:tc>
        <w:tc>
          <w:tcPr>
            <w:tcW w:type="dxa" w:w="6520"/>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CS280 / CS485 AI Lab Project</w:t>
            </w:r>
          </w:p>
        </w:tc>
      </w:tr>
    </w:tbl>
    <w:p/>
    <w:p>
      <w:r>
        <w:br w:type="page"/>
      </w:r>
    </w:p>
    <w:p>
      <w:pPr>
        <w:pStyle w:val="Heading1"/>
        <w:spacing w:before="240" w:after="120"/>
      </w:pPr>
      <w:r>
        <w:t>Report Structure</w:t>
      </w:r>
    </w:p>
    <w:p>
      <w:pPr>
        <w:pStyle w:val="ListNumber"/>
        <w:spacing w:after="60"/>
      </w:pPr>
      <w:r>
        <w:t>Introduction</w:t>
      </w:r>
    </w:p>
    <w:p>
      <w:pPr>
        <w:pStyle w:val="ListNumber"/>
        <w:spacing w:after="60"/>
      </w:pPr>
      <w:r>
        <w:t>Background and Problem Definition</w:t>
      </w:r>
    </w:p>
    <w:p>
      <w:pPr>
        <w:pStyle w:val="ListNumber"/>
        <w:spacing w:after="60"/>
      </w:pPr>
      <w:r>
        <w:t>Dataset Understanding</w:t>
      </w:r>
    </w:p>
    <w:p>
      <w:pPr>
        <w:pStyle w:val="ListNumber"/>
        <w:spacing w:after="60"/>
      </w:pPr>
      <w:r>
        <w:t>Methodology</w:t>
      </w:r>
    </w:p>
    <w:p>
      <w:pPr>
        <w:pStyle w:val="ListNumber"/>
        <w:spacing w:after="60"/>
      </w:pPr>
      <w:r>
        <w:t>Results and Interpretation</w:t>
      </w:r>
    </w:p>
    <w:p>
      <w:pPr>
        <w:pStyle w:val="ListNumber"/>
        <w:spacing w:after="60"/>
      </w:pPr>
      <w:r>
        <w:t>Dashboard and Deployment Interface</w:t>
      </w:r>
    </w:p>
    <w:p>
      <w:pPr>
        <w:pStyle w:val="ListNumber"/>
        <w:spacing w:after="60"/>
      </w:pPr>
      <w:r>
        <w:t>Limitations and Future Work</w:t>
      </w:r>
    </w:p>
    <w:p>
      <w:pPr>
        <w:pStyle w:val="ListNumber"/>
        <w:spacing w:after="60"/>
      </w:pPr>
      <w:r>
        <w:t>Conclusion</w:t>
      </w:r>
    </w:p>
    <w:p>
      <w:pPr>
        <w:pStyle w:val="ListNumber"/>
        <w:spacing w:after="60"/>
      </w:pPr>
      <w:r>
        <w:t>Screenshot Placement Checklist</w:t>
      </w:r>
    </w:p>
    <w:tbl>
      <w:tblPr>
        <w:tblW w:type="auto" w:w="0"/>
        <w:tblLayout w:type="autofit"/>
        <w:tblLook w:firstColumn="1" w:firstRow="1" w:lastColumn="0" w:lastRow="0" w:noHBand="0" w:noVBand="1" w:val="04A0"/>
      </w:tblPr>
      <w:tblGrid>
        <w:gridCol w:w="9972"/>
      </w:tblGrid>
      <w:tr>
        <w:tc>
          <w:tcPr>
            <w:tcW w:type="dxa" w:w="9972"/>
            <w:shd w:fill="EFF6FF"/>
            <w:tcBorders>
              <w:top w:val="single" w:sz="16" w:space="0" w:color="1D4ED8"/>
              <w:left w:val="single" w:sz="16" w:space="0" w:color="1D4ED8"/>
              <w:bottom w:val="single" w:sz="16" w:space="0" w:color="1D4ED8"/>
              <w:right w:val="single" w:sz="16" w:space="0" w:color="1D4ED8"/>
            </w:tcBorders>
            <w:tcMar>
              <w:top w:w="180" w:type="dxa"/>
              <w:start w:w="180" w:type="dxa"/>
              <w:bottom w:w="180" w:type="dxa"/>
              <w:end w:w="180" w:type="dxa"/>
            </w:tcMar>
          </w:tcPr>
          <w:p>
            <w:pPr>
              <w:spacing w:after="80"/>
            </w:pPr>
            <w:r>
              <w:rPr>
                <w:b/>
                <w:color w:val="0F766E"/>
              </w:rPr>
              <w:t>Screenshot Instruction</w:t>
            </w:r>
          </w:p>
          <w:p>
            <w:pPr>
              <w:spacing w:after="0"/>
            </w:pPr>
            <w:r>
              <w:t>All boxes labeled INSERT SCREENSHOT HERE should be replaced with screenshots from the notebook or dashboard. Each placeholder states exactly where to capture the screenshot and what it should show.</w:t>
            </w:r>
          </w:p>
        </w:tc>
      </w:tr>
    </w:tbl>
    <w:p>
      <w:pPr>
        <w:spacing w:after="40"/>
      </w:pPr>
    </w:p>
    <w:p>
      <w:pPr>
        <w:pStyle w:val="Heading1"/>
        <w:spacing w:before="240" w:after="120"/>
      </w:pPr>
      <w:r>
        <w:t>1. Introduction</w:t>
      </w:r>
    </w:p>
    <w:p>
      <w:pPr>
        <w:spacing w:after="120" w:line="259" w:lineRule="auto"/>
      </w:pPr>
      <w:r>
        <w:t>Customer churn occurs when customers stop using a service or discontinue their subscription. Predicting churn is valuable because retaining existing customers is often less expensive than acquiring new ones. A churn prediction system can help a business identify at-risk customers and design proactive retention strategies.</w:t>
      </w:r>
    </w:p>
    <w:p>
      <w:pPr>
        <w:spacing w:after="120" w:line="259" w:lineRule="auto"/>
      </w:pPr>
      <w:r>
        <w:t>The objective of this project is to build a supervised machine learning system that predicts whether a customer will churn. The task is a binary classification problem where the model learns patterns from customer information and predicts either non-churn or churn.</w:t>
      </w:r>
    </w:p>
    <w:p>
      <w:pPr>
        <w:pStyle w:val="Heading1"/>
        <w:spacing w:before="240" w:after="120"/>
      </w:pPr>
      <w:r>
        <w:t>2. Background and Problem Definition</w:t>
      </w:r>
    </w:p>
    <w:p>
      <w:pPr>
        <w:spacing w:after="120" w:line="259" w:lineRule="auto"/>
      </w:pPr>
      <w:r>
        <w:t>The input variables include customer demographics, service usage, support interaction, payment behavior, subscription information, spending, and recency of interaction. The output variable is Churn, where 1 represents churn and 0 represents no churn.</w:t>
      </w:r>
    </w:p>
    <w:p>
      <w:pPr>
        <w:spacing w:after="120" w:line="259" w:lineRule="auto"/>
      </w:pPr>
      <w:r>
        <w:t>A false positive occurs when the model predicts that a customer will churn, but the customer actually remains. A false negative occurs when the model predicts that a customer will remain, but the customer actually churns. False negatives are especially important because they represent missed opportunities for retention intervention.</w:t>
      </w:r>
    </w:p>
    <w:tbl>
      <w:tblPr>
        <w:tblStyle w:val="TableGrid"/>
        <w:tblW w:type="auto" w:w="0"/>
        <w:tblLook w:firstColumn="1" w:firstRow="1" w:lastColumn="0" w:lastRow="0" w:noHBand="0" w:noVBand="1" w:val="04A0"/>
      </w:tblPr>
      <w:tblGrid>
        <w:gridCol w:w="3324"/>
        <w:gridCol w:w="3324"/>
        <w:gridCol w:w="3324"/>
      </w:tblGrid>
      <w:tr>
        <w:trPr>
          <w:tblHeader w:val="true"/>
        </w:trPr>
        <w:tc>
          <w:tcPr>
            <w:tcW w:type="dxa" w:w="1701"/>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shd w:fill="0F766E"/>
          </w:tcPr>
          <w:p>
            <w:pPr>
              <w:spacing w:after="0"/>
            </w:pPr>
            <w:r>
              <w:rPr>
                <w:b/>
                <w:color w:val="FFFFFF"/>
                <w:sz w:val="18"/>
              </w:rPr>
              <w:t>Metric</w:t>
            </w:r>
          </w:p>
        </w:tc>
        <w:tc>
          <w:tcPr>
            <w:tcW w:type="dxa" w:w="3572"/>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shd w:fill="0F766E"/>
          </w:tcPr>
          <w:p>
            <w:pPr>
              <w:spacing w:after="0"/>
            </w:pPr>
            <w:r>
              <w:rPr>
                <w:b/>
                <w:color w:val="FFFFFF"/>
                <w:sz w:val="18"/>
              </w:rPr>
              <w:t>Meaning</w:t>
            </w:r>
          </w:p>
        </w:tc>
        <w:tc>
          <w:tcPr>
            <w:tcW w:type="dxa" w:w="3628"/>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shd w:fill="0F766E"/>
          </w:tcPr>
          <w:p>
            <w:pPr>
              <w:spacing w:after="0"/>
            </w:pPr>
            <w:r>
              <w:rPr>
                <w:b/>
                <w:color w:val="FFFFFF"/>
                <w:sz w:val="18"/>
              </w:rPr>
              <w:t>Why It Matters</w:t>
            </w:r>
          </w:p>
        </w:tc>
      </w:tr>
      <w:tr>
        <w:tc>
          <w:tcPr>
            <w:tcW w:type="dxa" w:w="1701"/>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Accuracy</w:t>
            </w:r>
          </w:p>
        </w:tc>
        <w:tc>
          <w:tcPr>
            <w:tcW w:type="dxa" w:w="3572"/>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Overall proportion of correct predictions.</w:t>
            </w:r>
          </w:p>
        </w:tc>
        <w:tc>
          <w:tcPr>
            <w:tcW w:type="dxa" w:w="3628"/>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Useful, but not enough when class costs differ.</w:t>
            </w:r>
          </w:p>
        </w:tc>
      </w:tr>
      <w:tr>
        <w:tc>
          <w:tcPr>
            <w:tcW w:type="dxa" w:w="1701"/>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Precision</w:t>
            </w:r>
          </w:p>
        </w:tc>
        <w:tc>
          <w:tcPr>
            <w:tcW w:type="dxa" w:w="3572"/>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Of customers predicted to churn, how many actually churned.</w:t>
            </w:r>
          </w:p>
        </w:tc>
        <w:tc>
          <w:tcPr>
            <w:tcW w:type="dxa" w:w="3628"/>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Controls unnecessary retention effort.</w:t>
            </w:r>
          </w:p>
        </w:tc>
      </w:tr>
      <w:tr>
        <w:tc>
          <w:tcPr>
            <w:tcW w:type="dxa" w:w="1701"/>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Recall</w:t>
            </w:r>
          </w:p>
        </w:tc>
        <w:tc>
          <w:tcPr>
            <w:tcW w:type="dxa" w:w="3572"/>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Of actual churners, how many the model found.</w:t>
            </w:r>
          </w:p>
        </w:tc>
        <w:tc>
          <w:tcPr>
            <w:tcW w:type="dxa" w:w="3628"/>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Important because missed churners are costly.</w:t>
            </w:r>
          </w:p>
        </w:tc>
      </w:tr>
      <w:tr>
        <w:tc>
          <w:tcPr>
            <w:tcW w:type="dxa" w:w="1701"/>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F1-score</w:t>
            </w:r>
          </w:p>
        </w:tc>
        <w:tc>
          <w:tcPr>
            <w:tcW w:type="dxa" w:w="3572"/>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Harmonic mean of precision and recall.</w:t>
            </w:r>
          </w:p>
        </w:tc>
        <w:tc>
          <w:tcPr>
            <w:tcW w:type="dxa" w:w="3628"/>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Main tuning metric because it balances both concerns.</w:t>
            </w:r>
          </w:p>
        </w:tc>
      </w:tr>
      <w:tr>
        <w:tc>
          <w:tcPr>
            <w:tcW w:type="dxa" w:w="1701"/>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ROC-AUC</w:t>
            </w:r>
          </w:p>
        </w:tc>
        <w:tc>
          <w:tcPr>
            <w:tcW w:type="dxa" w:w="3572"/>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Ranking quality across classification thresholds.</w:t>
            </w:r>
          </w:p>
        </w:tc>
        <w:tc>
          <w:tcPr>
            <w:tcW w:type="dxa" w:w="3628"/>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Shows how well the model separates churners from non-churners.</w:t>
            </w:r>
          </w:p>
        </w:tc>
      </w:tr>
    </w:tbl>
    <w:p/>
    <w:p>
      <w:pPr>
        <w:pStyle w:val="Heading1"/>
        <w:spacing w:before="240" w:after="120"/>
      </w:pPr>
      <w:r>
        <w:t>3. Dataset Understanding</w:t>
      </w:r>
    </w:p>
    <w:p>
      <w:pPr>
        <w:spacing w:after="120" w:line="259" w:lineRule="auto"/>
      </w:pPr>
      <w:r>
        <w:t>The project uses two provided CSV files: a training dataset with approximately 440,000 rows and a testing dataset with approximately 64,000 rows. The training file is used for model development, cross-validation, and hyperparameter tuning. The testing file is reserved for final held-out evaluation only.</w:t>
      </w:r>
    </w:p>
    <w:tbl>
      <w:tblPr>
        <w:tblStyle w:val="TableGrid"/>
        <w:tblW w:type="auto" w:w="0"/>
        <w:tblLook w:firstColumn="1" w:firstRow="1" w:lastColumn="0" w:lastRow="0" w:noHBand="0" w:noVBand="1" w:val="04A0"/>
      </w:tblPr>
      <w:tblGrid>
        <w:gridCol w:w="4986"/>
        <w:gridCol w:w="4986"/>
      </w:tblGrid>
      <w:tr>
        <w:trPr>
          <w:tblHeader w:val="true"/>
        </w:trPr>
        <w:tc>
          <w:tcPr>
            <w:tcW w:type="dxa" w:w="2381"/>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shd w:fill="0F766E"/>
          </w:tcPr>
          <w:p>
            <w:pPr>
              <w:spacing w:after="0"/>
            </w:pPr>
            <w:r>
              <w:rPr>
                <w:b/>
                <w:color w:val="FFFFFF"/>
                <w:sz w:val="18"/>
              </w:rPr>
              <w:t>Item</w:t>
            </w:r>
          </w:p>
        </w:tc>
        <w:tc>
          <w:tcPr>
            <w:tcW w:type="dxa" w:w="6520"/>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shd w:fill="0F766E"/>
          </w:tcPr>
          <w:p>
            <w:pPr>
              <w:spacing w:after="0"/>
            </w:pPr>
            <w:r>
              <w:rPr>
                <w:b/>
                <w:color w:val="FFFFFF"/>
                <w:sz w:val="18"/>
              </w:rPr>
              <w:t>Description</w:t>
            </w:r>
          </w:p>
        </w:tc>
      </w:tr>
      <w:tr>
        <w:tc>
          <w:tcPr>
            <w:tcW w:type="dxa" w:w="2381"/>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Training File</w:t>
            </w:r>
          </w:p>
        </w:tc>
        <w:tc>
          <w:tcPr>
            <w:tcW w:type="dxa" w:w="6520"/>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customer_churn_dataset-training-master.csv</w:t>
            </w:r>
          </w:p>
        </w:tc>
      </w:tr>
      <w:tr>
        <w:tc>
          <w:tcPr>
            <w:tcW w:type="dxa" w:w="2381"/>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Testing File</w:t>
            </w:r>
          </w:p>
        </w:tc>
        <w:tc>
          <w:tcPr>
            <w:tcW w:type="dxa" w:w="6520"/>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customer_churn_dataset-testing-master.csv</w:t>
            </w:r>
          </w:p>
        </w:tc>
      </w:tr>
      <w:tr>
        <w:tc>
          <w:tcPr>
            <w:tcW w:type="dxa" w:w="2381"/>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Target</w:t>
            </w:r>
          </w:p>
        </w:tc>
        <w:tc>
          <w:tcPr>
            <w:tcW w:type="dxa" w:w="6520"/>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Churn</w:t>
            </w:r>
          </w:p>
        </w:tc>
      </w:tr>
      <w:tr>
        <w:tc>
          <w:tcPr>
            <w:tcW w:type="dxa" w:w="2381"/>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Excluded Feature</w:t>
            </w:r>
          </w:p>
        </w:tc>
        <w:tc>
          <w:tcPr>
            <w:tcW w:type="dxa" w:w="6520"/>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CustomerID, because it is an identifier and not a predictive business feature</w:t>
            </w:r>
          </w:p>
        </w:tc>
      </w:tr>
      <w:tr>
        <w:tc>
          <w:tcPr>
            <w:tcW w:type="dxa" w:w="2381"/>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Known Data Issue</w:t>
            </w:r>
          </w:p>
        </w:tc>
        <w:tc>
          <w:tcPr>
            <w:tcW w:type="dxa" w:w="6520"/>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One malformed almost-empty row in the training dataset with missing values</w:t>
            </w:r>
          </w:p>
        </w:tc>
      </w:tr>
    </w:tbl>
    <w:p/>
    <w:tbl>
      <w:tblPr>
        <w:tblW w:type="auto" w:w="0"/>
        <w:tblLayout w:type="autofit"/>
        <w:tblLook w:firstColumn="1" w:firstRow="1" w:lastColumn="0" w:lastRow="0" w:noHBand="0" w:noVBand="1" w:val="04A0"/>
      </w:tblPr>
      <w:tblGrid>
        <w:gridCol w:w="9972"/>
      </w:tblGrid>
      <w:tr>
        <w:tc>
          <w:tcPr>
            <w:tcW w:type="dxa" w:w="9972"/>
            <w:shd w:fill="F8FAFC"/>
            <w:tcBorders>
              <w:top w:val="single" w:sz="12" w:space="0" w:color="94A3B8"/>
              <w:left w:val="single" w:sz="12" w:space="0" w:color="94A3B8"/>
              <w:bottom w:val="single" w:sz="12" w:space="0" w:color="94A3B8"/>
              <w:right w:val="single" w:sz="12" w:space="0" w:color="94A3B8"/>
            </w:tcBorders>
            <w:tcMar>
              <w:top w:w="220" w:type="dxa"/>
              <w:start w:w="220" w:type="dxa"/>
              <w:bottom w:w="220" w:type="dxa"/>
              <w:end w:w="220" w:type="dxa"/>
            </w:tcMar>
          </w:tcPr>
          <w:p>
            <w:pPr>
              <w:jc w:val="center"/>
            </w:pPr>
            <w:r>
              <w:rPr>
                <w:b/>
                <w:color w:val="0F766E"/>
                <w:sz w:val="24"/>
              </w:rPr>
              <w:t>FIGURE 1: INSERT SCREENSHOT HERE</w:t>
            </w:r>
          </w:p>
          <w:p>
            <w:pPr>
              <w:jc w:val="center"/>
            </w:pPr>
            <w:r>
              <w:rPr>
                <w:b/>
                <w:sz w:val="22"/>
              </w:rPr>
              <w:t>Notebook dataset loading and initial inspection output</w:t>
            </w:r>
          </w:p>
          <w:p>
            <w:pPr>
              <w:jc w:val="center"/>
            </w:pPr>
            <w:r>
              <w:t>Where to capture: Open customer_churn_ml_project.ipynb, sections 4 and 5.</w:t>
            </w:r>
          </w:p>
          <w:p>
            <w:pPr>
              <w:jc w:val="center"/>
            </w:pPr>
            <w:r>
              <w:t>What to show: Show dataset shapes, first rows, column names, data types, missing values, duplicates, and target distribution.</w:t>
            </w:r>
          </w:p>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tc>
      </w:tr>
    </w:tbl>
    <w:p>
      <w:pPr>
        <w:spacing w:after="160"/>
        <w:jc w:val="center"/>
      </w:pPr>
      <w:r>
        <w:rPr>
          <w:i/>
          <w:color w:val="4B5563"/>
          <w:sz w:val="18"/>
        </w:rPr>
        <w:t>Figure 1. Notebook dataset loading and initial inspection output. Replace the placeholder box with the screenshot before final submission.</w:t>
      </w:r>
    </w:p>
    <w:p>
      <w:pPr>
        <w:spacing w:after="120" w:line="259" w:lineRule="auto"/>
      </w:pPr>
      <w:r>
        <w:t>The malformed row with missing target and feature values is removed before modelling. The target is converted to an integer binary variable. Missing feature handling is also included inside the preprocessing pipeline, which protects against leakage during cross-validation.</w:t>
      </w:r>
    </w:p>
    <w:p>
      <w:pPr>
        <w:pStyle w:val="Heading1"/>
        <w:spacing w:before="240" w:after="120"/>
      </w:pPr>
      <w:r>
        <w:t>4. Methodology</w:t>
      </w:r>
    </w:p>
    <w:p>
      <w:pPr>
        <w:pStyle w:val="Heading2"/>
        <w:spacing w:before="160" w:after="120"/>
      </w:pPr>
      <w:r>
        <w:t>4.1 Data Preparation and Preprocessing</w:t>
      </w:r>
    </w:p>
    <w:p>
      <w:pPr>
        <w:spacing w:after="120" w:line="259" w:lineRule="auto"/>
      </w:pPr>
      <w:r>
        <w:t>The preprocessing workflow uses a scikit-learn ColumnTransformer. Numerical features are imputed using the median and then scaled with StandardScaler. Categorical features are imputed using the most frequent category and encoded with OneHotEncoder(handle_unknown='ignore').</w:t>
      </w:r>
    </w:p>
    <w:p>
      <w:pPr>
        <w:spacing w:after="120" w:line="259" w:lineRule="auto"/>
      </w:pPr>
      <w:r>
        <w:t>All preprocessing is placed inside model pipelines so that transformations are learned only from the training folds during cross-validation. This prevents data leakage and makes the evaluation scientifically fair.</w:t>
      </w:r>
    </w:p>
    <w:p>
      <w:pPr>
        <w:pStyle w:val="Heading2"/>
        <w:spacing w:before="160" w:after="120"/>
      </w:pPr>
      <w:r>
        <w:t>4.2 Model Selection Strategy</w:t>
      </w:r>
    </w:p>
    <w:tbl>
      <w:tblPr>
        <w:tblStyle w:val="TableGrid"/>
        <w:tblW w:type="auto" w:w="0"/>
        <w:tblLook w:firstColumn="1" w:firstRow="1" w:lastColumn="0" w:lastRow="0" w:noHBand="0" w:noVBand="1" w:val="04A0"/>
      </w:tblPr>
      <w:tblGrid>
        <w:gridCol w:w="2493"/>
        <w:gridCol w:w="2493"/>
        <w:gridCol w:w="2493"/>
        <w:gridCol w:w="2493"/>
      </w:tblGrid>
      <w:tr>
        <w:trPr>
          <w:tblHeader w:val="true"/>
        </w:trPr>
        <w:tc>
          <w:tcPr>
            <w:tcW w:type="dxa" w:w="1928"/>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shd w:fill="0F766E"/>
          </w:tcPr>
          <w:p>
            <w:pPr>
              <w:spacing w:after="0"/>
            </w:pPr>
            <w:r>
              <w:rPr>
                <w:b/>
                <w:color w:val="FFFFFF"/>
                <w:sz w:val="18"/>
              </w:rPr>
              <w:t>Model</w:t>
            </w:r>
          </w:p>
        </w:tc>
        <w:tc>
          <w:tcPr>
            <w:tcW w:type="dxa" w:w="2494"/>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shd w:fill="0F766E"/>
          </w:tcPr>
          <w:p>
            <w:pPr>
              <w:spacing w:after="0"/>
            </w:pPr>
            <w:r>
              <w:rPr>
                <w:b/>
                <w:color w:val="FFFFFF"/>
                <w:sz w:val="18"/>
              </w:rPr>
              <w:t>Basic Idea</w:t>
            </w:r>
          </w:p>
        </w:tc>
        <w:tc>
          <w:tcPr>
            <w:tcW w:type="dxa" w:w="2494"/>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shd w:fill="0F766E"/>
          </w:tcPr>
          <w:p>
            <w:pPr>
              <w:spacing w:after="0"/>
            </w:pPr>
            <w:r>
              <w:rPr>
                <w:b/>
                <w:color w:val="FFFFFF"/>
                <w:sz w:val="18"/>
              </w:rPr>
              <w:t>Reason Included</w:t>
            </w:r>
          </w:p>
        </w:tc>
        <w:tc>
          <w:tcPr>
            <w:tcW w:type="dxa" w:w="1984"/>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shd w:fill="0F766E"/>
          </w:tcPr>
          <w:p>
            <w:pPr>
              <w:spacing w:after="0"/>
            </w:pPr>
            <w:r>
              <w:rPr>
                <w:b/>
                <w:color w:val="FFFFFF"/>
                <w:sz w:val="18"/>
              </w:rPr>
              <w:t>Main Hyperparameters</w:t>
            </w:r>
          </w:p>
        </w:tc>
      </w:tr>
      <w:tr>
        <w:tc>
          <w:tcPr>
            <w:tcW w:type="dxa" w:w="1928"/>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Logistic Regression</w:t>
            </w:r>
          </w:p>
        </w:tc>
        <w:tc>
          <w:tcPr>
            <w:tcW w:type="dxa" w:w="2494"/>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Linear probabilistic classifier.</w:t>
            </w:r>
          </w:p>
        </w:tc>
        <w:tc>
          <w:tcPr>
            <w:tcW w:type="dxa" w:w="2494"/>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Interpretable baseline.</w:t>
            </w:r>
          </w:p>
        </w:tc>
        <w:tc>
          <w:tcPr>
            <w:tcW w:type="dxa" w:w="1984"/>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C, solver, penalty, class_weight</w:t>
            </w:r>
          </w:p>
        </w:tc>
      </w:tr>
      <w:tr>
        <w:tc>
          <w:tcPr>
            <w:tcW w:type="dxa" w:w="1928"/>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K-Nearest Neighbors</w:t>
            </w:r>
          </w:p>
        </w:tc>
        <w:tc>
          <w:tcPr>
            <w:tcW w:type="dxa" w:w="2494"/>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Distance-based non-parametric classifier.</w:t>
            </w:r>
          </w:p>
        </w:tc>
        <w:tc>
          <w:tcPr>
            <w:tcW w:type="dxa" w:w="2494"/>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Different learning principle; sensitive to scaling.</w:t>
            </w:r>
          </w:p>
        </w:tc>
        <w:tc>
          <w:tcPr>
            <w:tcW w:type="dxa" w:w="1984"/>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n_neighbors, weights, metric</w:t>
            </w:r>
          </w:p>
        </w:tc>
      </w:tr>
      <w:tr>
        <w:tc>
          <w:tcPr>
            <w:tcW w:type="dxa" w:w="1928"/>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Random Forest</w:t>
            </w:r>
          </w:p>
        </w:tc>
        <w:tc>
          <w:tcPr>
            <w:tcW w:type="dxa" w:w="2494"/>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Ensemble of decision trees.</w:t>
            </w:r>
          </w:p>
        </w:tc>
        <w:tc>
          <w:tcPr>
            <w:tcW w:type="dxa" w:w="2494"/>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Captures nonlinear relationships and interactions.</w:t>
            </w:r>
          </w:p>
        </w:tc>
        <w:tc>
          <w:tcPr>
            <w:tcW w:type="dxa" w:w="1984"/>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n_estimators, max_depth, min_samples_split, min_samples_leaf, class_weight</w:t>
            </w:r>
          </w:p>
        </w:tc>
      </w:tr>
    </w:tbl>
    <w:p/>
    <w:p>
      <w:pPr>
        <w:spacing w:after="120" w:line="259" w:lineRule="auto"/>
      </w:pPr>
      <w:r>
        <w:t>The primary hyperparameter tuning metric is F1-score because it balances precision and recall. This is appropriate for churn prediction because the business wants to detect likely churners while avoiding excessive unnecessary retention effort.</w:t>
      </w:r>
    </w:p>
    <w:tbl>
      <w:tblPr>
        <w:tblW w:type="auto" w:w="0"/>
        <w:tblLayout w:type="autofit"/>
        <w:tblLook w:firstColumn="1" w:firstRow="1" w:lastColumn="0" w:lastRow="0" w:noHBand="0" w:noVBand="1" w:val="04A0"/>
      </w:tblPr>
      <w:tblGrid>
        <w:gridCol w:w="9972"/>
      </w:tblGrid>
      <w:tr>
        <w:tc>
          <w:tcPr>
            <w:tcW w:type="dxa" w:w="9972"/>
            <w:shd w:fill="F8FAFC"/>
            <w:tcBorders>
              <w:top w:val="single" w:sz="12" w:space="0" w:color="94A3B8"/>
              <w:left w:val="single" w:sz="12" w:space="0" w:color="94A3B8"/>
              <w:bottom w:val="single" w:sz="12" w:space="0" w:color="94A3B8"/>
              <w:right w:val="single" w:sz="12" w:space="0" w:color="94A3B8"/>
            </w:tcBorders>
            <w:tcMar>
              <w:top w:w="220" w:type="dxa"/>
              <w:start w:w="220" w:type="dxa"/>
              <w:bottom w:w="220" w:type="dxa"/>
              <w:end w:w="220" w:type="dxa"/>
            </w:tcMar>
          </w:tcPr>
          <w:p>
            <w:pPr>
              <w:jc w:val="center"/>
            </w:pPr>
            <w:r>
              <w:rPr>
                <w:b/>
                <w:color w:val="0F766E"/>
                <w:sz w:val="24"/>
              </w:rPr>
              <w:t>FIGURE 2: INSERT SCREENSHOT HERE</w:t>
            </w:r>
          </w:p>
          <w:p>
            <w:pPr>
              <w:jc w:val="center"/>
            </w:pPr>
            <w:r>
              <w:rPr>
                <w:b/>
                <w:sz w:val="22"/>
              </w:rPr>
              <w:t>Notebook preprocessing pipeline and model definitions</w:t>
            </w:r>
          </w:p>
          <w:p>
            <w:pPr>
              <w:jc w:val="center"/>
            </w:pPr>
            <w:r>
              <w:t>Where to capture: Open customer_churn_ml_project.ipynb, sections 9 and 10.</w:t>
            </w:r>
          </w:p>
          <w:p>
            <w:pPr>
              <w:jc w:val="center"/>
            </w:pPr>
            <w:r>
              <w:t>What to show: Show the ColumnTransformer/Pipeline setup and the three model definitions.</w:t>
            </w:r>
          </w:p>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tc>
      </w:tr>
    </w:tbl>
    <w:p>
      <w:pPr>
        <w:spacing w:after="160"/>
        <w:jc w:val="center"/>
      </w:pPr>
      <w:r>
        <w:rPr>
          <w:i/>
          <w:color w:val="4B5563"/>
          <w:sz w:val="18"/>
        </w:rPr>
        <w:t>Figure 2. Notebook preprocessing pipeline and model definitions. Replace the placeholder box with the screenshot before final submission.</w:t>
      </w:r>
    </w:p>
    <w:p>
      <w:pPr>
        <w:pStyle w:val="Heading1"/>
        <w:spacing w:before="240" w:after="120"/>
      </w:pPr>
      <w:r>
        <w:t>5. Results and Interpretation</w:t>
      </w:r>
    </w:p>
    <w:p>
      <w:pPr>
        <w:spacing w:after="120" w:line="259" w:lineRule="auto"/>
      </w:pPr>
      <w:r>
        <w:t>The notebook evaluates baseline versions of all three models using stratified cross-validation. It then performs hyperparameter tuning and compares the tuned models using accuracy, precision, recall, F1-score, and ROC-AUC.</w:t>
      </w:r>
    </w:p>
    <w:tbl>
      <w:tblPr>
        <w:tblW w:type="auto" w:w="0"/>
        <w:tblLayout w:type="autofit"/>
        <w:tblLook w:firstColumn="1" w:firstRow="1" w:lastColumn="0" w:lastRow="0" w:noHBand="0" w:noVBand="1" w:val="04A0"/>
      </w:tblPr>
      <w:tblGrid>
        <w:gridCol w:w="9972"/>
      </w:tblGrid>
      <w:tr>
        <w:tc>
          <w:tcPr>
            <w:tcW w:type="dxa" w:w="9972"/>
            <w:shd w:fill="F8FAFC"/>
            <w:tcBorders>
              <w:top w:val="single" w:sz="12" w:space="0" w:color="94A3B8"/>
              <w:left w:val="single" w:sz="12" w:space="0" w:color="94A3B8"/>
              <w:bottom w:val="single" w:sz="12" w:space="0" w:color="94A3B8"/>
              <w:right w:val="single" w:sz="12" w:space="0" w:color="94A3B8"/>
            </w:tcBorders>
            <w:tcMar>
              <w:top w:w="220" w:type="dxa"/>
              <w:start w:w="220" w:type="dxa"/>
              <w:bottom w:w="220" w:type="dxa"/>
              <w:end w:w="220" w:type="dxa"/>
            </w:tcMar>
          </w:tcPr>
          <w:p>
            <w:pPr>
              <w:jc w:val="center"/>
            </w:pPr>
            <w:r>
              <w:rPr>
                <w:b/>
                <w:color w:val="0F766E"/>
                <w:sz w:val="24"/>
              </w:rPr>
              <w:t>FIGURE 3: INSERT SCREENSHOT HERE</w:t>
            </w:r>
          </w:p>
          <w:p>
            <w:pPr>
              <w:jc w:val="center"/>
            </w:pPr>
            <w:r>
              <w:rPr>
                <w:b/>
                <w:sz w:val="22"/>
              </w:rPr>
              <w:t>Baseline and tuned model comparison tables</w:t>
            </w:r>
          </w:p>
          <w:p>
            <w:pPr>
              <w:jc w:val="center"/>
            </w:pPr>
            <w:r>
              <w:t>Where to capture: Open customer_churn_ml_project.ipynb, sections 11, 12, and 13.</w:t>
            </w:r>
          </w:p>
          <w:p>
            <w:pPr>
              <w:jc w:val="center"/>
            </w:pPr>
            <w:r>
              <w:t>What to show: Show cross-validation results, best parameters, and tuned model comparison chart.</w:t>
            </w:r>
          </w:p>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tc>
      </w:tr>
    </w:tbl>
    <w:p>
      <w:pPr>
        <w:spacing w:after="160"/>
        <w:jc w:val="center"/>
      </w:pPr>
      <w:r>
        <w:rPr>
          <w:i/>
          <w:color w:val="4B5563"/>
          <w:sz w:val="18"/>
        </w:rPr>
        <w:t>Figure 3. Baseline and tuned model comparison tables. Replace the placeholder box with the screenshot before final submission.</w:t>
      </w:r>
    </w:p>
    <w:p>
      <w:pPr>
        <w:spacing w:after="120" w:line="259" w:lineRule="auto"/>
      </w:pPr>
      <w:r>
        <w:t>The final selected model is evaluated on the external testing dataset only after model selection. This provides a fair estimate of generalization performance because the test set is not used during training or tuning.</w:t>
      </w:r>
    </w:p>
    <w:tbl>
      <w:tblPr>
        <w:tblW w:type="auto" w:w="0"/>
        <w:tblLayout w:type="autofit"/>
        <w:tblLook w:firstColumn="1" w:firstRow="1" w:lastColumn="0" w:lastRow="0" w:noHBand="0" w:noVBand="1" w:val="04A0"/>
      </w:tblPr>
      <w:tblGrid>
        <w:gridCol w:w="9972"/>
      </w:tblGrid>
      <w:tr>
        <w:tc>
          <w:tcPr>
            <w:tcW w:type="dxa" w:w="9972"/>
            <w:shd w:fill="F8FAFC"/>
            <w:tcBorders>
              <w:top w:val="single" w:sz="12" w:space="0" w:color="94A3B8"/>
              <w:left w:val="single" w:sz="12" w:space="0" w:color="94A3B8"/>
              <w:bottom w:val="single" w:sz="12" w:space="0" w:color="94A3B8"/>
              <w:right w:val="single" w:sz="12" w:space="0" w:color="94A3B8"/>
            </w:tcBorders>
            <w:tcMar>
              <w:top w:w="220" w:type="dxa"/>
              <w:start w:w="220" w:type="dxa"/>
              <w:bottom w:w="220" w:type="dxa"/>
              <w:end w:w="220" w:type="dxa"/>
            </w:tcMar>
          </w:tcPr>
          <w:p>
            <w:pPr>
              <w:jc w:val="center"/>
            </w:pPr>
            <w:r>
              <w:rPr>
                <w:b/>
                <w:color w:val="0F766E"/>
                <w:sz w:val="24"/>
              </w:rPr>
              <w:t>FIGURE 4: INSERT SCREENSHOT HERE</w:t>
            </w:r>
          </w:p>
          <w:p>
            <w:pPr>
              <w:jc w:val="center"/>
            </w:pPr>
            <w:r>
              <w:rPr>
                <w:b/>
                <w:sz w:val="22"/>
              </w:rPr>
              <w:t>Final held-out test evaluation</w:t>
            </w:r>
          </w:p>
          <w:p>
            <w:pPr>
              <w:jc w:val="center"/>
            </w:pPr>
            <w:r>
              <w:t>Where to capture: Open customer_churn_ml_project.ipynb, section 14.</w:t>
            </w:r>
          </w:p>
          <w:p>
            <w:pPr>
              <w:jc w:val="center"/>
            </w:pPr>
            <w:r>
              <w:t>What to show: Show final test metrics table, classification reports, confusion matrices, ROC curve, and precision-recall curve.</w:t>
            </w:r>
          </w:p>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tc>
      </w:tr>
    </w:tbl>
    <w:p>
      <w:pPr>
        <w:spacing w:after="160"/>
        <w:jc w:val="center"/>
      </w:pPr>
      <w:r>
        <w:rPr>
          <w:i/>
          <w:color w:val="4B5563"/>
          <w:sz w:val="18"/>
        </w:rPr>
        <w:t>Figure 4. Final held-out test evaluation. Replace the placeholder box with the screenshot before final submission.</w:t>
      </w:r>
    </w:p>
    <w:p>
      <w:pPr>
        <w:spacing w:after="120" w:line="259" w:lineRule="auto"/>
      </w:pPr>
      <w:r>
        <w:t>The final model should be selected based on a combination of F1-score, recall, and ROC-AUC, not simply accuracy. In business terms, recall is important because failing to identify a likely churner may lead to preventable customer loss.</w:t>
      </w:r>
    </w:p>
    <w:p>
      <w:pPr>
        <w:pStyle w:val="Heading1"/>
        <w:spacing w:before="240" w:after="120"/>
      </w:pPr>
      <w:r>
        <w:t>6. Interpretability</w:t>
      </w:r>
    </w:p>
    <w:p>
      <w:pPr>
        <w:spacing w:after="120" w:line="259" w:lineRule="auto"/>
      </w:pPr>
      <w:r>
        <w:t>The notebook includes interpretability outputs for Logistic Regression coefficients and Random Forest feature importances where feasible. These outputs help identify which features are most strongly associated with model predictions.</w:t>
      </w:r>
    </w:p>
    <w:tbl>
      <w:tblPr>
        <w:tblW w:type="auto" w:w="0"/>
        <w:tblLayout w:type="autofit"/>
        <w:tblLook w:firstColumn="1" w:firstRow="1" w:lastColumn="0" w:lastRow="0" w:noHBand="0" w:noVBand="1" w:val="04A0"/>
      </w:tblPr>
      <w:tblGrid>
        <w:gridCol w:w="9972"/>
      </w:tblGrid>
      <w:tr>
        <w:tc>
          <w:tcPr>
            <w:tcW w:type="dxa" w:w="9972"/>
            <w:shd w:fill="FFF7ED"/>
            <w:tcBorders>
              <w:top w:val="single" w:sz="16" w:space="0" w:color="F97316"/>
              <w:left w:val="single" w:sz="16" w:space="0" w:color="F97316"/>
              <w:bottom w:val="single" w:sz="16" w:space="0" w:color="F97316"/>
              <w:right w:val="single" w:sz="16" w:space="0" w:color="F97316"/>
            </w:tcBorders>
            <w:tcMar>
              <w:top w:w="180" w:type="dxa"/>
              <w:start w:w="180" w:type="dxa"/>
              <w:bottom w:w="180" w:type="dxa"/>
              <w:end w:w="180" w:type="dxa"/>
            </w:tcMar>
          </w:tcPr>
          <w:p>
            <w:pPr>
              <w:spacing w:after="80"/>
            </w:pPr>
            <w:r>
              <w:rPr>
                <w:b/>
                <w:color w:val="0F766E"/>
              </w:rPr>
              <w:t>Interpretation Caution</w:t>
            </w:r>
          </w:p>
          <w:p>
            <w:pPr>
              <w:spacing w:after="0"/>
            </w:pPr>
            <w:r>
              <w:t>Feature importance and coefficients should be described as associations learned by the model. They should not be presented as causal proof that a feature directly causes churn.</w:t>
            </w:r>
          </w:p>
        </w:tc>
      </w:tr>
    </w:tbl>
    <w:p>
      <w:pPr>
        <w:spacing w:after="40"/>
      </w:pPr>
    </w:p>
    <w:tbl>
      <w:tblPr>
        <w:tblW w:type="auto" w:w="0"/>
        <w:tblLayout w:type="autofit"/>
        <w:tblLook w:firstColumn="1" w:firstRow="1" w:lastColumn="0" w:lastRow="0" w:noHBand="0" w:noVBand="1" w:val="04A0"/>
      </w:tblPr>
      <w:tblGrid>
        <w:gridCol w:w="9972"/>
      </w:tblGrid>
      <w:tr>
        <w:tc>
          <w:tcPr>
            <w:tcW w:type="dxa" w:w="9972"/>
            <w:shd w:fill="F8FAFC"/>
            <w:tcBorders>
              <w:top w:val="single" w:sz="12" w:space="0" w:color="94A3B8"/>
              <w:left w:val="single" w:sz="12" w:space="0" w:color="94A3B8"/>
              <w:bottom w:val="single" w:sz="12" w:space="0" w:color="94A3B8"/>
              <w:right w:val="single" w:sz="12" w:space="0" w:color="94A3B8"/>
            </w:tcBorders>
            <w:tcMar>
              <w:top w:w="220" w:type="dxa"/>
              <w:start w:w="220" w:type="dxa"/>
              <w:bottom w:w="220" w:type="dxa"/>
              <w:end w:w="220" w:type="dxa"/>
            </w:tcMar>
          </w:tcPr>
          <w:p>
            <w:pPr>
              <w:jc w:val="center"/>
            </w:pPr>
            <w:r>
              <w:rPr>
                <w:b/>
                <w:color w:val="0F766E"/>
                <w:sz w:val="24"/>
              </w:rPr>
              <w:t>FIGURE 5: INSERT SCREENSHOT HERE</w:t>
            </w:r>
          </w:p>
          <w:p>
            <w:pPr>
              <w:jc w:val="center"/>
            </w:pPr>
            <w:r>
              <w:rPr>
                <w:b/>
                <w:sz w:val="22"/>
              </w:rPr>
              <w:t>Feature importance and coefficient interpretation</w:t>
            </w:r>
          </w:p>
          <w:p>
            <w:pPr>
              <w:jc w:val="center"/>
            </w:pPr>
            <w:r>
              <w:t>Where to capture: Open customer_churn_ml_project.ipynb, section 16.</w:t>
            </w:r>
          </w:p>
          <w:p>
            <w:pPr>
              <w:jc w:val="center"/>
            </w:pPr>
            <w:r>
              <w:t>What to show: Show top Logistic Regression coefficients and/or Random Forest feature importance chart.</w:t>
            </w:r>
          </w:p>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tc>
      </w:tr>
    </w:tbl>
    <w:p>
      <w:pPr>
        <w:spacing w:after="160"/>
        <w:jc w:val="center"/>
      </w:pPr>
      <w:r>
        <w:rPr>
          <w:i/>
          <w:color w:val="4B5563"/>
          <w:sz w:val="18"/>
        </w:rPr>
        <w:t>Figure 5. Feature importance and coefficient interpretation. Replace the placeholder box with the screenshot before final submission.</w:t>
      </w:r>
    </w:p>
    <w:p>
      <w:pPr>
        <w:pStyle w:val="Heading1"/>
        <w:spacing w:before="240" w:after="120"/>
      </w:pPr>
      <w:r>
        <w:t>7. Dashboard and Deployment Interface</w:t>
      </w:r>
    </w:p>
    <w:p>
      <w:pPr>
        <w:spacing w:after="120" w:line="259" w:lineRule="auto"/>
      </w:pPr>
      <w:r>
        <w:t>A Streamlit dashboard was created to make the project interactive and presentation-ready. The dashboard loads the datasets, reads saved model metrics, loads the saved final pipeline, supports live single-customer prediction, and allows batch CSV prediction with downloadable results.</w:t>
      </w:r>
    </w:p>
    <w:tbl>
      <w:tblPr>
        <w:tblStyle w:val="TableGrid"/>
        <w:tblW w:type="auto" w:w="0"/>
        <w:tblLook w:firstColumn="1" w:firstRow="1" w:lastColumn="0" w:lastRow="0" w:noHBand="0" w:noVBand="1" w:val="04A0"/>
      </w:tblPr>
      <w:tblGrid>
        <w:gridCol w:w="4986"/>
        <w:gridCol w:w="4986"/>
      </w:tblGrid>
      <w:tr>
        <w:trPr>
          <w:tblHeader w:val="true"/>
        </w:trPr>
        <w:tc>
          <w:tcPr>
            <w:tcW w:type="dxa" w:w="2381"/>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shd w:fill="0F766E"/>
          </w:tcPr>
          <w:p>
            <w:pPr>
              <w:spacing w:after="0"/>
            </w:pPr>
            <w:r>
              <w:rPr>
                <w:b/>
                <w:color w:val="FFFFFF"/>
                <w:sz w:val="18"/>
              </w:rPr>
              <w:t>Item</w:t>
            </w:r>
          </w:p>
        </w:tc>
        <w:tc>
          <w:tcPr>
            <w:tcW w:type="dxa" w:w="6520"/>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shd w:fill="0F766E"/>
          </w:tcPr>
          <w:p>
            <w:pPr>
              <w:spacing w:after="0"/>
            </w:pPr>
            <w:r>
              <w:rPr>
                <w:b/>
                <w:color w:val="FFFFFF"/>
                <w:sz w:val="18"/>
              </w:rPr>
              <w:t>Description</w:t>
            </w:r>
          </w:p>
        </w:tc>
      </w:tr>
      <w:tr>
        <w:tc>
          <w:tcPr>
            <w:tcW w:type="dxa" w:w="2381"/>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Dashboard File</w:t>
            </w:r>
          </w:p>
        </w:tc>
        <w:tc>
          <w:tcPr>
            <w:tcW w:type="dxa" w:w="6520"/>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dashboard.py</w:t>
            </w:r>
          </w:p>
        </w:tc>
      </w:tr>
      <w:tr>
        <w:tc>
          <w:tcPr>
            <w:tcW w:type="dxa" w:w="2381"/>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Theme File</w:t>
            </w:r>
          </w:p>
        </w:tc>
        <w:tc>
          <w:tcPr>
            <w:tcW w:type="dxa" w:w="6520"/>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.streamlit/config.toml</w:t>
            </w:r>
          </w:p>
        </w:tc>
      </w:tr>
      <w:tr>
        <w:tc>
          <w:tcPr>
            <w:tcW w:type="dxa" w:w="2381"/>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Saved Model</w:t>
            </w:r>
          </w:p>
        </w:tc>
        <w:tc>
          <w:tcPr>
            <w:tcW w:type="dxa" w:w="6520"/>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churn_prediction_model.pkl</w:t>
            </w:r>
          </w:p>
        </w:tc>
      </w:tr>
      <w:tr>
        <w:tc>
          <w:tcPr>
            <w:tcW w:type="dxa" w:w="2381"/>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Metrics Artifact</w:t>
            </w:r>
          </w:p>
        </w:tc>
        <w:tc>
          <w:tcPr>
            <w:tcW w:type="dxa" w:w="6520"/>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model_metrics.json</w:t>
            </w:r>
          </w:p>
        </w:tc>
      </w:tr>
      <w:tr>
        <w:tc>
          <w:tcPr>
            <w:tcW w:type="dxa" w:w="2381"/>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Comparison Artifact</w:t>
            </w:r>
          </w:p>
        </w:tc>
        <w:tc>
          <w:tcPr>
            <w:tcW w:type="dxa" w:w="6520"/>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model_comparison.csv</w:t>
            </w:r>
          </w:p>
        </w:tc>
      </w:tr>
      <w:tr>
        <w:tc>
          <w:tcPr>
            <w:tcW w:type="dxa" w:w="2381"/>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Run Command</w:t>
            </w:r>
          </w:p>
        </w:tc>
        <w:tc>
          <w:tcPr>
            <w:tcW w:type="dxa" w:w="6520"/>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streamlit run dashboard.py</w:t>
            </w:r>
          </w:p>
        </w:tc>
      </w:tr>
    </w:tbl>
    <w:p/>
    <w:tbl>
      <w:tblPr>
        <w:tblW w:type="auto" w:w="0"/>
        <w:tblLayout w:type="autofit"/>
        <w:tblLook w:firstColumn="1" w:firstRow="1" w:lastColumn="0" w:lastRow="0" w:noHBand="0" w:noVBand="1" w:val="04A0"/>
      </w:tblPr>
      <w:tblGrid>
        <w:gridCol w:w="9972"/>
      </w:tblGrid>
      <w:tr>
        <w:tc>
          <w:tcPr>
            <w:tcW w:type="dxa" w:w="9972"/>
            <w:shd w:fill="F8FAFC"/>
            <w:tcBorders>
              <w:top w:val="single" w:sz="12" w:space="0" w:color="94A3B8"/>
              <w:left w:val="single" w:sz="12" w:space="0" w:color="94A3B8"/>
              <w:bottom w:val="single" w:sz="12" w:space="0" w:color="94A3B8"/>
              <w:right w:val="single" w:sz="12" w:space="0" w:color="94A3B8"/>
            </w:tcBorders>
            <w:tcMar>
              <w:top w:w="220" w:type="dxa"/>
              <w:start w:w="220" w:type="dxa"/>
              <w:bottom w:w="220" w:type="dxa"/>
              <w:end w:w="220" w:type="dxa"/>
            </w:tcMar>
          </w:tcPr>
          <w:p>
            <w:pPr>
              <w:jc w:val="center"/>
            </w:pPr>
            <w:r>
              <w:rPr>
                <w:b/>
                <w:color w:val="0F766E"/>
                <w:sz w:val="24"/>
              </w:rPr>
              <w:t>FIGURE 6: INSERT SCREENSHOT HERE</w:t>
            </w:r>
          </w:p>
          <w:p>
            <w:pPr>
              <w:jc w:val="center"/>
            </w:pPr>
            <w:r>
              <w:rPr>
                <w:b/>
                <w:sz w:val="22"/>
              </w:rPr>
              <w:t>Streamlit dashboard overview page</w:t>
            </w:r>
          </w:p>
          <w:p>
            <w:pPr>
              <w:jc w:val="center"/>
            </w:pPr>
            <w:r>
              <w:t>Where to capture: Run streamlit run dashboard.py, then open the Overview page.</w:t>
            </w:r>
          </w:p>
          <w:p>
            <w:pPr>
              <w:jc w:val="center"/>
            </w:pPr>
            <w:r>
              <w:t>What to show: Show the hero section, KPI cards, feature cards, and objective callout.</w:t>
            </w:r>
          </w:p>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tc>
      </w:tr>
    </w:tbl>
    <w:p>
      <w:pPr>
        <w:spacing w:after="160"/>
        <w:jc w:val="center"/>
      </w:pPr>
      <w:r>
        <w:rPr>
          <w:i/>
          <w:color w:val="4B5563"/>
          <w:sz w:val="18"/>
        </w:rPr>
        <w:t>Figure 6. Streamlit dashboard overview page. Replace the placeholder box with the screenshot before final submission.</w:t>
      </w:r>
    </w:p>
    <w:tbl>
      <w:tblPr>
        <w:tblW w:type="auto" w:w="0"/>
        <w:tblLayout w:type="autofit"/>
        <w:tblLook w:firstColumn="1" w:firstRow="1" w:lastColumn="0" w:lastRow="0" w:noHBand="0" w:noVBand="1" w:val="04A0"/>
      </w:tblPr>
      <w:tblGrid>
        <w:gridCol w:w="9972"/>
      </w:tblGrid>
      <w:tr>
        <w:tc>
          <w:tcPr>
            <w:tcW w:type="dxa" w:w="9972"/>
            <w:shd w:fill="F8FAFC"/>
            <w:tcBorders>
              <w:top w:val="single" w:sz="12" w:space="0" w:color="94A3B8"/>
              <w:left w:val="single" w:sz="12" w:space="0" w:color="94A3B8"/>
              <w:bottom w:val="single" w:sz="12" w:space="0" w:color="94A3B8"/>
              <w:right w:val="single" w:sz="12" w:space="0" w:color="94A3B8"/>
            </w:tcBorders>
            <w:tcMar>
              <w:top w:w="220" w:type="dxa"/>
              <w:start w:w="220" w:type="dxa"/>
              <w:bottom w:w="220" w:type="dxa"/>
              <w:end w:w="220" w:type="dxa"/>
            </w:tcMar>
          </w:tcPr>
          <w:p>
            <w:pPr>
              <w:jc w:val="center"/>
            </w:pPr>
            <w:r>
              <w:rPr>
                <w:b/>
                <w:color w:val="0F766E"/>
                <w:sz w:val="24"/>
              </w:rPr>
              <w:t>FIGURE 7: INSERT SCREENSHOT HERE</w:t>
            </w:r>
          </w:p>
          <w:p>
            <w:pPr>
              <w:jc w:val="center"/>
            </w:pPr>
            <w:r>
              <w:rPr>
                <w:b/>
                <w:sz w:val="22"/>
              </w:rPr>
              <w:t>Data Explorer and Churn Insights dashboard pages</w:t>
            </w:r>
          </w:p>
          <w:p>
            <w:pPr>
              <w:jc w:val="center"/>
            </w:pPr>
            <w:r>
              <w:t>Where to capture: In the dashboard, open Data Explorer and Churn Insights.</w:t>
            </w:r>
          </w:p>
          <w:p>
            <w:pPr>
              <w:jc w:val="center"/>
            </w:pPr>
            <w:r>
              <w:t>What to show: Show dataset switcher, feature distribution, churn-rate charts, filters, and correlation heatmap.</w:t>
            </w:r>
          </w:p>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tc>
      </w:tr>
    </w:tbl>
    <w:p>
      <w:pPr>
        <w:spacing w:after="160"/>
        <w:jc w:val="center"/>
      </w:pPr>
      <w:r>
        <w:rPr>
          <w:i/>
          <w:color w:val="4B5563"/>
          <w:sz w:val="18"/>
        </w:rPr>
        <w:t>Figure 7. Data Explorer and Churn Insights dashboard pages. Replace the placeholder box with the screenshot before final submission.</w:t>
      </w:r>
    </w:p>
    <w:tbl>
      <w:tblPr>
        <w:tblW w:type="auto" w:w="0"/>
        <w:tblLayout w:type="autofit"/>
        <w:tblLook w:firstColumn="1" w:firstRow="1" w:lastColumn="0" w:lastRow="0" w:noHBand="0" w:noVBand="1" w:val="04A0"/>
      </w:tblPr>
      <w:tblGrid>
        <w:gridCol w:w="9972"/>
      </w:tblGrid>
      <w:tr>
        <w:tc>
          <w:tcPr>
            <w:tcW w:type="dxa" w:w="9972"/>
            <w:shd w:fill="F8FAFC"/>
            <w:tcBorders>
              <w:top w:val="single" w:sz="12" w:space="0" w:color="94A3B8"/>
              <w:left w:val="single" w:sz="12" w:space="0" w:color="94A3B8"/>
              <w:bottom w:val="single" w:sz="12" w:space="0" w:color="94A3B8"/>
              <w:right w:val="single" w:sz="12" w:space="0" w:color="94A3B8"/>
            </w:tcBorders>
            <w:tcMar>
              <w:top w:w="220" w:type="dxa"/>
              <w:start w:w="220" w:type="dxa"/>
              <w:bottom w:w="220" w:type="dxa"/>
              <w:end w:w="220" w:type="dxa"/>
            </w:tcMar>
          </w:tcPr>
          <w:p>
            <w:pPr>
              <w:jc w:val="center"/>
            </w:pPr>
            <w:r>
              <w:rPr>
                <w:b/>
                <w:color w:val="0F766E"/>
                <w:sz w:val="24"/>
              </w:rPr>
              <w:t>FIGURE 8: INSERT SCREENSHOT HERE</w:t>
            </w:r>
          </w:p>
          <w:p>
            <w:pPr>
              <w:jc w:val="center"/>
            </w:pPr>
            <w:r>
              <w:rPr>
                <w:b/>
                <w:sz w:val="22"/>
              </w:rPr>
              <w:t>Model Performance dashboard page</w:t>
            </w:r>
          </w:p>
          <w:p>
            <w:pPr>
              <w:jc w:val="center"/>
            </w:pPr>
            <w:r>
              <w:t>Where to capture: In the dashboard, open Model Performance.</w:t>
            </w:r>
          </w:p>
          <w:p>
            <w:pPr>
              <w:jc w:val="center"/>
            </w:pPr>
            <w:r>
              <w:t>What to show: Show the comparison table, metric bar chart, selected-model KPI cards, and business note.</w:t>
            </w:r>
          </w:p>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tc>
      </w:tr>
    </w:tbl>
    <w:p>
      <w:pPr>
        <w:spacing w:after="160"/>
        <w:jc w:val="center"/>
      </w:pPr>
      <w:r>
        <w:rPr>
          <w:i/>
          <w:color w:val="4B5563"/>
          <w:sz w:val="18"/>
        </w:rPr>
        <w:t>Figure 8. Model Performance dashboard page. Replace the placeholder box with the screenshot before final submission.</w:t>
      </w:r>
    </w:p>
    <w:tbl>
      <w:tblPr>
        <w:tblW w:type="auto" w:w="0"/>
        <w:tblLayout w:type="autofit"/>
        <w:tblLook w:firstColumn="1" w:firstRow="1" w:lastColumn="0" w:lastRow="0" w:noHBand="0" w:noVBand="1" w:val="04A0"/>
      </w:tblPr>
      <w:tblGrid>
        <w:gridCol w:w="9972"/>
      </w:tblGrid>
      <w:tr>
        <w:tc>
          <w:tcPr>
            <w:tcW w:type="dxa" w:w="9972"/>
            <w:shd w:fill="F8FAFC"/>
            <w:tcBorders>
              <w:top w:val="single" w:sz="12" w:space="0" w:color="94A3B8"/>
              <w:left w:val="single" w:sz="12" w:space="0" w:color="94A3B8"/>
              <w:bottom w:val="single" w:sz="12" w:space="0" w:color="94A3B8"/>
              <w:right w:val="single" w:sz="12" w:space="0" w:color="94A3B8"/>
            </w:tcBorders>
            <w:tcMar>
              <w:top w:w="220" w:type="dxa"/>
              <w:start w:w="220" w:type="dxa"/>
              <w:bottom w:w="220" w:type="dxa"/>
              <w:end w:w="220" w:type="dxa"/>
            </w:tcMar>
          </w:tcPr>
          <w:p>
            <w:pPr>
              <w:jc w:val="center"/>
            </w:pPr>
            <w:r>
              <w:rPr>
                <w:b/>
                <w:color w:val="0F766E"/>
                <w:sz w:val="24"/>
              </w:rPr>
              <w:t>FIGURE 9: INSERT SCREENSHOT HERE</w:t>
            </w:r>
          </w:p>
          <w:p>
            <w:pPr>
              <w:jc w:val="center"/>
            </w:pPr>
            <w:r>
              <w:rPr>
                <w:b/>
                <w:sz w:val="22"/>
              </w:rPr>
              <w:t>Single customer churn prediction</w:t>
            </w:r>
          </w:p>
          <w:p>
            <w:pPr>
              <w:jc w:val="center"/>
            </w:pPr>
            <w:r>
              <w:t>Where to capture: In the dashboard, open Predict Customer Churn.</w:t>
            </w:r>
          </w:p>
          <w:p>
            <w:pPr>
              <w:jc w:val="center"/>
            </w:pPr>
            <w:r>
              <w:t>What to show: Show the input form after clicking Predict Churn Risk and include the prediction result card.</w:t>
            </w:r>
          </w:p>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tc>
      </w:tr>
    </w:tbl>
    <w:p>
      <w:pPr>
        <w:spacing w:after="160"/>
        <w:jc w:val="center"/>
      </w:pPr>
      <w:r>
        <w:rPr>
          <w:i/>
          <w:color w:val="4B5563"/>
          <w:sz w:val="18"/>
        </w:rPr>
        <w:t>Figure 9. Single customer churn prediction. Replace the placeholder box with the screenshot before final submission.</w:t>
      </w:r>
    </w:p>
    <w:tbl>
      <w:tblPr>
        <w:tblW w:type="auto" w:w="0"/>
        <w:tblLayout w:type="autofit"/>
        <w:tblLook w:firstColumn="1" w:firstRow="1" w:lastColumn="0" w:lastRow="0" w:noHBand="0" w:noVBand="1" w:val="04A0"/>
      </w:tblPr>
      <w:tblGrid>
        <w:gridCol w:w="9972"/>
      </w:tblGrid>
      <w:tr>
        <w:tc>
          <w:tcPr>
            <w:tcW w:type="dxa" w:w="9972"/>
            <w:shd w:fill="F8FAFC"/>
            <w:tcBorders>
              <w:top w:val="single" w:sz="12" w:space="0" w:color="94A3B8"/>
              <w:left w:val="single" w:sz="12" w:space="0" w:color="94A3B8"/>
              <w:bottom w:val="single" w:sz="12" w:space="0" w:color="94A3B8"/>
              <w:right w:val="single" w:sz="12" w:space="0" w:color="94A3B8"/>
            </w:tcBorders>
            <w:tcMar>
              <w:top w:w="220" w:type="dxa"/>
              <w:start w:w="220" w:type="dxa"/>
              <w:bottom w:w="220" w:type="dxa"/>
              <w:end w:w="220" w:type="dxa"/>
            </w:tcMar>
          </w:tcPr>
          <w:p>
            <w:pPr>
              <w:jc w:val="center"/>
            </w:pPr>
            <w:r>
              <w:rPr>
                <w:b/>
                <w:color w:val="0F766E"/>
                <w:sz w:val="24"/>
              </w:rPr>
              <w:t>FIGURE 10: INSERT SCREENSHOT HERE</w:t>
            </w:r>
          </w:p>
          <w:p>
            <w:pPr>
              <w:jc w:val="center"/>
            </w:pPr>
            <w:r>
              <w:rPr>
                <w:b/>
                <w:sz w:val="22"/>
              </w:rPr>
              <w:t>Batch prediction workflow</w:t>
            </w:r>
          </w:p>
          <w:p>
            <w:pPr>
              <w:jc w:val="center"/>
            </w:pPr>
            <w:r>
              <w:t>Where to capture: In the dashboard, open Batch Prediction and upload a valid CSV.</w:t>
            </w:r>
          </w:p>
          <w:p>
            <w:pPr>
              <w:jc w:val="center"/>
            </w:pPr>
            <w:r>
              <w:t>What to show: Show uploaded preview, summary metrics, risk distribution chart, result table, and download button.</w:t>
            </w:r>
          </w:p>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tc>
      </w:tr>
    </w:tbl>
    <w:p>
      <w:pPr>
        <w:spacing w:after="160"/>
        <w:jc w:val="center"/>
      </w:pPr>
      <w:r>
        <w:rPr>
          <w:i/>
          <w:color w:val="4B5563"/>
          <w:sz w:val="18"/>
        </w:rPr>
        <w:t>Figure 10. Batch prediction workflow. Replace the placeholder box with the screenshot before final submission.</w:t>
      </w:r>
    </w:p>
    <w:p>
      <w:pPr>
        <w:pStyle w:val="Heading1"/>
        <w:spacing w:before="240" w:after="120"/>
      </w:pPr>
      <w:r>
        <w:t>8. Inference on Unseen Examples</w:t>
      </w:r>
    </w:p>
    <w:p>
      <w:pPr>
        <w:spacing w:after="120" w:line="259" w:lineRule="auto"/>
      </w:pPr>
      <w:r>
        <w:t>The notebook demonstrates inference using at least three synthetic customer profiles with the same feature structure as the training data. The selected final model predicts both churn class and churn probability where available.</w:t>
      </w:r>
    </w:p>
    <w:tbl>
      <w:tblPr>
        <w:tblW w:type="auto" w:w="0"/>
        <w:tblLayout w:type="autofit"/>
        <w:tblLook w:firstColumn="1" w:firstRow="1" w:lastColumn="0" w:lastRow="0" w:noHBand="0" w:noVBand="1" w:val="04A0"/>
      </w:tblPr>
      <w:tblGrid>
        <w:gridCol w:w="9972"/>
      </w:tblGrid>
      <w:tr>
        <w:tc>
          <w:tcPr>
            <w:tcW w:type="dxa" w:w="9972"/>
            <w:shd w:fill="F8FAFC"/>
            <w:tcBorders>
              <w:top w:val="single" w:sz="12" w:space="0" w:color="94A3B8"/>
              <w:left w:val="single" w:sz="12" w:space="0" w:color="94A3B8"/>
              <w:bottom w:val="single" w:sz="12" w:space="0" w:color="94A3B8"/>
              <w:right w:val="single" w:sz="12" w:space="0" w:color="94A3B8"/>
            </w:tcBorders>
            <w:tcMar>
              <w:top w:w="220" w:type="dxa"/>
              <w:start w:w="220" w:type="dxa"/>
              <w:bottom w:w="220" w:type="dxa"/>
              <w:end w:w="220" w:type="dxa"/>
            </w:tcMar>
          </w:tcPr>
          <w:p>
            <w:pPr>
              <w:jc w:val="center"/>
            </w:pPr>
            <w:r>
              <w:rPr>
                <w:b/>
                <w:color w:val="0F766E"/>
                <w:sz w:val="24"/>
              </w:rPr>
              <w:t>FIGURE 11: INSERT SCREENSHOT HERE</w:t>
            </w:r>
          </w:p>
          <w:p>
            <w:pPr>
              <w:jc w:val="center"/>
            </w:pPr>
            <w:r>
              <w:rPr>
                <w:b/>
                <w:sz w:val="22"/>
              </w:rPr>
              <w:t>Notebook inference on synthetic unseen examples</w:t>
            </w:r>
          </w:p>
          <w:p>
            <w:pPr>
              <w:jc w:val="center"/>
            </w:pPr>
            <w:r>
              <w:t>Where to capture: Open customer_churn_ml_project.ipynb, section 17.</w:t>
            </w:r>
          </w:p>
          <w:p>
            <w:pPr>
              <w:jc w:val="center"/>
            </w:pPr>
            <w:r>
              <w:t>What to show: Show the synthetic customer input table with predicted churn class and churn probability.</w:t>
            </w:r>
          </w:p>
          <w:p>
            <w:pPr>
              <w:spacing w:after="0"/>
            </w:pPr>
            <w:r>
              <w:t xml:space="preserve"> </w:t>
            </w:r>
          </w:p>
          <w:p>
            <w:pPr>
              <w:spacing w:after="0"/>
            </w:pPr>
            <w:r>
              <w:t xml:space="preserve"> </w:t>
            </w:r>
          </w:p>
          <w:p>
            <w:pPr>
              <w:spacing w:after="0"/>
            </w:pPr>
            <w:r>
              <w:t xml:space="preserve"> </w:t>
            </w:r>
          </w:p>
          <w:p>
            <w:pPr>
              <w:spacing w:after="0"/>
            </w:pPr>
            <w:r>
              <w:t xml:space="preserve"> </w:t>
            </w:r>
          </w:p>
        </w:tc>
      </w:tr>
    </w:tbl>
    <w:p>
      <w:pPr>
        <w:spacing w:after="160"/>
        <w:jc w:val="center"/>
      </w:pPr>
      <w:r>
        <w:rPr>
          <w:i/>
          <w:color w:val="4B5563"/>
          <w:sz w:val="18"/>
        </w:rPr>
        <w:t>Figure 11. Notebook inference on synthetic unseen examples. Replace the placeholder box with the screenshot before final submission.</w:t>
      </w:r>
    </w:p>
    <w:p>
      <w:pPr>
        <w:pStyle w:val="Heading1"/>
        <w:spacing w:before="240" w:after="120"/>
      </w:pPr>
      <w:r>
        <w:t>9. Limitations and Future Work</w:t>
      </w:r>
    </w:p>
    <w:p>
      <w:pPr>
        <w:pStyle w:val="ListBullet"/>
        <w:spacing w:after="60"/>
      </w:pPr>
      <w:r>
        <w:t>The dataset may not fully represent real-world customer behavior.</w:t>
      </w:r>
    </w:p>
    <w:p>
      <w:pPr>
        <w:pStyle w:val="ListBullet"/>
        <w:spacing w:after="60"/>
      </w:pPr>
      <w:r>
        <w:t>Temporal effects are not explicitly modeled, although churn can change over time.</w:t>
      </w:r>
    </w:p>
    <w:p>
      <w:pPr>
        <w:pStyle w:val="ListBullet"/>
        <w:spacing w:after="60"/>
      </w:pPr>
      <w:r>
        <w:t>The project does not include a business-specific cost matrix for retention offers versus lost customers.</w:t>
      </w:r>
    </w:p>
    <w:p>
      <w:pPr>
        <w:pStyle w:val="ListBullet"/>
        <w:spacing w:after="60"/>
      </w:pPr>
      <w:r>
        <w:t>Synthetic inference examples are useful for demonstration but do not replace real deployment validation.</w:t>
      </w:r>
    </w:p>
    <w:p>
      <w:pPr>
        <w:pStyle w:val="ListBullet"/>
        <w:spacing w:after="60"/>
      </w:pPr>
      <w:r>
        <w:t>Future work could include threshold tuning, temporal validation, cost-sensitive modelling, and model monitoring.</w:t>
      </w:r>
    </w:p>
    <w:p>
      <w:pPr>
        <w:pStyle w:val="Heading1"/>
        <w:spacing w:before="240" w:after="120"/>
      </w:pPr>
      <w:r>
        <w:t>10. Conclusion</w:t>
      </w:r>
    </w:p>
    <w:p>
      <w:pPr>
        <w:spacing w:after="120" w:line="259" w:lineRule="auto"/>
      </w:pPr>
      <w:r>
        <w:t>This project presents a complete supervised machine learning workflow for customer churn prediction. It includes dataset preparation, exploratory analysis, leakage-safe preprocessing, three distinct machine learning models, hyperparameter tuning, scientific evaluation, final model selection, interpretability, unseen inference, and a professional Streamlit dashboard.</w:t>
      </w:r>
    </w:p>
    <w:p>
      <w:pPr>
        <w:spacing w:after="120" w:line="259" w:lineRule="auto"/>
      </w:pPr>
      <w:r>
        <w:t>The final selected model should be justified by held-out test performance and business meaning, especially F1-score, recall, and ROC-AUC. This supports the practical goal of identifying customers who may need proactive retention attention.</w:t>
      </w:r>
    </w:p>
    <w:p>
      <w:r>
        <w:br w:type="page"/>
      </w:r>
    </w:p>
    <w:p>
      <w:pPr>
        <w:pStyle w:val="Heading1"/>
        <w:spacing w:before="240" w:after="120"/>
      </w:pPr>
      <w:r>
        <w:t>Appendix: Screenshot Placement Checklist</w:t>
      </w:r>
    </w:p>
    <w:tbl>
      <w:tblPr>
        <w:tblStyle w:val="TableGrid"/>
        <w:tblW w:type="auto" w:w="0"/>
        <w:tblLook w:firstColumn="1" w:firstRow="1" w:lastColumn="0" w:lastRow="0" w:noHBand="0" w:noVBand="1" w:val="04A0"/>
      </w:tblPr>
      <w:tblGrid>
        <w:gridCol w:w="3324"/>
        <w:gridCol w:w="3324"/>
        <w:gridCol w:w="3324"/>
      </w:tblGrid>
      <w:tr>
        <w:trPr>
          <w:tblHeader w:val="true"/>
        </w:trPr>
        <w:tc>
          <w:tcPr>
            <w:tcW w:type="dxa" w:w="1134"/>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shd w:fill="0F766E"/>
          </w:tcPr>
          <w:p>
            <w:pPr>
              <w:spacing w:after="0"/>
            </w:pPr>
            <w:r>
              <w:rPr>
                <w:b/>
                <w:color w:val="FFFFFF"/>
                <w:sz w:val="18"/>
              </w:rPr>
              <w:t>Figure</w:t>
            </w:r>
          </w:p>
        </w:tc>
        <w:tc>
          <w:tcPr>
            <w:tcW w:type="dxa" w:w="2835"/>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shd w:fill="0F766E"/>
          </w:tcPr>
          <w:p>
            <w:pPr>
              <w:spacing w:after="0"/>
            </w:pPr>
            <w:r>
              <w:rPr>
                <w:b/>
                <w:color w:val="FFFFFF"/>
                <w:sz w:val="18"/>
              </w:rPr>
              <w:t>Where to Capture</w:t>
            </w:r>
          </w:p>
        </w:tc>
        <w:tc>
          <w:tcPr>
            <w:tcW w:type="dxa" w:w="4932"/>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shd w:fill="0F766E"/>
          </w:tcPr>
          <w:p>
            <w:pPr>
              <w:spacing w:after="0"/>
            </w:pPr>
            <w:r>
              <w:rPr>
                <w:b/>
                <w:color w:val="FFFFFF"/>
                <w:sz w:val="18"/>
              </w:rPr>
              <w:t>Screenshot Content</w:t>
            </w:r>
          </w:p>
        </w:tc>
      </w:tr>
      <w:tr>
        <w:tc>
          <w:tcPr>
            <w:tcW w:type="dxa" w:w="1134"/>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1</w:t>
            </w:r>
          </w:p>
        </w:tc>
        <w:tc>
          <w:tcPr>
            <w:tcW w:type="dxa" w:w="2835"/>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Notebook sections 4-5</w:t>
            </w:r>
          </w:p>
        </w:tc>
        <w:tc>
          <w:tcPr>
            <w:tcW w:type="dxa" w:w="4932"/>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Dataset loading, shapes, data types, missing values, target distribution</w:t>
            </w:r>
          </w:p>
        </w:tc>
      </w:tr>
      <w:tr>
        <w:tc>
          <w:tcPr>
            <w:tcW w:type="dxa" w:w="1134"/>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2</w:t>
            </w:r>
          </w:p>
        </w:tc>
        <w:tc>
          <w:tcPr>
            <w:tcW w:type="dxa" w:w="2835"/>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Notebook sections 9-10</w:t>
            </w:r>
          </w:p>
        </w:tc>
        <w:tc>
          <w:tcPr>
            <w:tcW w:type="dxa" w:w="4932"/>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Preprocessing pipeline and model definitions</w:t>
            </w:r>
          </w:p>
        </w:tc>
      </w:tr>
      <w:tr>
        <w:tc>
          <w:tcPr>
            <w:tcW w:type="dxa" w:w="1134"/>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3</w:t>
            </w:r>
          </w:p>
        </w:tc>
        <w:tc>
          <w:tcPr>
            <w:tcW w:type="dxa" w:w="2835"/>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Notebook sections 11-13</w:t>
            </w:r>
          </w:p>
        </w:tc>
        <w:tc>
          <w:tcPr>
            <w:tcW w:type="dxa" w:w="4932"/>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Baseline CV, tuning results, tuned comparison plot</w:t>
            </w:r>
          </w:p>
        </w:tc>
      </w:tr>
      <w:tr>
        <w:tc>
          <w:tcPr>
            <w:tcW w:type="dxa" w:w="1134"/>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4</w:t>
            </w:r>
          </w:p>
        </w:tc>
        <w:tc>
          <w:tcPr>
            <w:tcW w:type="dxa" w:w="2835"/>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Notebook section 14</w:t>
            </w:r>
          </w:p>
        </w:tc>
        <w:tc>
          <w:tcPr>
            <w:tcW w:type="dxa" w:w="4932"/>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Held-out test metrics, confusion matrix, ROC/PR curves</w:t>
            </w:r>
          </w:p>
        </w:tc>
      </w:tr>
      <w:tr>
        <w:tc>
          <w:tcPr>
            <w:tcW w:type="dxa" w:w="1134"/>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5</w:t>
            </w:r>
          </w:p>
        </w:tc>
        <w:tc>
          <w:tcPr>
            <w:tcW w:type="dxa" w:w="2835"/>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Notebook section 16</w:t>
            </w:r>
          </w:p>
        </w:tc>
        <w:tc>
          <w:tcPr>
            <w:tcW w:type="dxa" w:w="4932"/>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Feature importance and coefficients</w:t>
            </w:r>
          </w:p>
        </w:tc>
      </w:tr>
      <w:tr>
        <w:tc>
          <w:tcPr>
            <w:tcW w:type="dxa" w:w="1134"/>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6</w:t>
            </w:r>
          </w:p>
        </w:tc>
        <w:tc>
          <w:tcPr>
            <w:tcW w:type="dxa" w:w="2835"/>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Dashboard Overview</w:t>
            </w:r>
          </w:p>
        </w:tc>
        <w:tc>
          <w:tcPr>
            <w:tcW w:type="dxa" w:w="4932"/>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Hero, KPI cards, feature cards</w:t>
            </w:r>
          </w:p>
        </w:tc>
      </w:tr>
      <w:tr>
        <w:tc>
          <w:tcPr>
            <w:tcW w:type="dxa" w:w="1134"/>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7</w:t>
            </w:r>
          </w:p>
        </w:tc>
        <w:tc>
          <w:tcPr>
            <w:tcW w:type="dxa" w:w="2835"/>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Dashboard Data Explorer / Churn Insights</w:t>
            </w:r>
          </w:p>
        </w:tc>
        <w:tc>
          <w:tcPr>
            <w:tcW w:type="dxa" w:w="4932"/>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Interactive charts, filters, heatmap</w:t>
            </w:r>
          </w:p>
        </w:tc>
      </w:tr>
      <w:tr>
        <w:tc>
          <w:tcPr>
            <w:tcW w:type="dxa" w:w="1134"/>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8</w:t>
            </w:r>
          </w:p>
        </w:tc>
        <w:tc>
          <w:tcPr>
            <w:tcW w:type="dxa" w:w="2835"/>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Dashboard Model Performance</w:t>
            </w:r>
          </w:p>
        </w:tc>
        <w:tc>
          <w:tcPr>
            <w:tcW w:type="dxa" w:w="4932"/>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Metrics table, chart, selected model cards</w:t>
            </w:r>
          </w:p>
        </w:tc>
      </w:tr>
      <w:tr>
        <w:tc>
          <w:tcPr>
            <w:tcW w:type="dxa" w:w="1134"/>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9</w:t>
            </w:r>
          </w:p>
        </w:tc>
        <w:tc>
          <w:tcPr>
            <w:tcW w:type="dxa" w:w="2835"/>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Dashboard Predict Customer Churn</w:t>
            </w:r>
          </w:p>
        </w:tc>
        <w:tc>
          <w:tcPr>
            <w:tcW w:type="dxa" w:w="4932"/>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Form and prediction result card</w:t>
            </w:r>
          </w:p>
        </w:tc>
      </w:tr>
      <w:tr>
        <w:tc>
          <w:tcPr>
            <w:tcW w:type="dxa" w:w="1134"/>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10</w:t>
            </w:r>
          </w:p>
        </w:tc>
        <w:tc>
          <w:tcPr>
            <w:tcW w:type="dxa" w:w="2835"/>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Dashboard Batch Prediction</w:t>
            </w:r>
          </w:p>
        </w:tc>
        <w:tc>
          <w:tcPr>
            <w:tcW w:type="dxa" w:w="4932"/>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Upload preview, scores, download results</w:t>
            </w:r>
          </w:p>
        </w:tc>
      </w:tr>
      <w:tr>
        <w:tc>
          <w:tcPr>
            <w:tcW w:type="dxa" w:w="1134"/>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11</w:t>
            </w:r>
          </w:p>
        </w:tc>
        <w:tc>
          <w:tcPr>
            <w:tcW w:type="dxa" w:w="2835"/>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Notebook section 17</w:t>
            </w:r>
          </w:p>
        </w:tc>
        <w:tc>
          <w:tcPr>
            <w:tcW w:type="dxa" w:w="4932"/>
            <w:vAlign w:val="center"/>
            <w:tcMar>
              <w:top w:w="120" w:type="dxa"/>
              <w:start w:w="120" w:type="dxa"/>
              <w:bottom w:w="120" w:type="dxa"/>
              <w:end w:w="120" w:type="dxa"/>
            </w:tcMar>
            <w:tcBorders>
              <w:top w:val="single" w:sz="8" w:space="0" w:color="D1D5DB"/>
              <w:left w:val="single" w:sz="8" w:space="0" w:color="D1D5DB"/>
              <w:bottom w:val="single" w:sz="8" w:space="0" w:color="D1D5DB"/>
              <w:right w:val="single" w:sz="8" w:space="0" w:color="D1D5DB"/>
            </w:tcBorders>
          </w:tcPr>
          <w:p>
            <w:pPr>
              <w:spacing w:after="0"/>
            </w:pPr>
            <w:r>
              <w:rPr>
                <w:sz w:val="18"/>
              </w:rPr>
              <w:t>Synthetic unseen prediction table</w:t>
            </w:r>
          </w:p>
        </w:tc>
      </w:tr>
    </w:tbl>
    <w:sectPr w:rsidR="00FC693F" w:rsidRPr="0006063C" w:rsidSect="00034616">
      <w:footerReference w:type="default" r:id="rId9"/>
      <w:pgSz w:w="12240" w:h="15840"/>
      <w:pgMar w:top="102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Customer Churn Prediction ML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F766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0F76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