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b/>
          <w:bCs/>
          <w:color w:val="595959"/>
          <w:spacing w:val="40"/>
          <w:sz w:val="22"/>
          <w:szCs w:val="22"/>
        </w:rPr>
        <w:t xml:space="preserve">PROJECT REPORT</w:t>
      </w:r>
    </w:p>
    <w:p>
      <w:pPr>
        <w:spacing w:after="0" w:before="240"/>
        <w:jc w:val="center"/>
      </w:pPr>
      <w:r>
        <w:rPr>
          <w:b/>
          <w:bCs/>
          <w:color w:val="1F4E79"/>
          <w:sz w:val="40"/>
          <w:szCs w:val="40"/>
        </w:rPr>
        <w:t xml:space="preserve">Data Analytics and AI:</w:t>
      </w:r>
    </w:p>
    <w:p>
      <w:pPr>
        <w:spacing w:after="400" w:before="60"/>
        <w:jc w:val="center"/>
      </w:pPr>
      <w:r>
        <w:rPr>
          <w:b/>
          <w:bCs/>
          <w:color w:val="1F4E79"/>
          <w:sz w:val="40"/>
          <w:szCs w:val="40"/>
        </w:rPr>
        <w:t xml:space="preserve">Predicting Telecom Customer Churn</w:t>
      </w:r>
    </w:p>
    <w:p>
      <w:pPr>
        <w:pBdr>
          <w:top w:val="single" w:color="1F4E79" w:sz="6" w:space="8"/>
        </w:pBdr>
        <w:spacing w:after="300"/>
        <w:jc w:val="center"/>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CE6F1" w:val="clear"/>
            <w:tcMar>
              <w:top w:type="dxa" w:w="100"/>
              <w:left w:type="dxa" w:w="120"/>
              <w:bottom w:type="dxa" w:w="100"/>
              <w:right w:type="dxa" w:w="120"/>
            </w:tcMar>
            <w:vAlign w:val="center"/>
          </w:tcPr>
          <w:p>
            <w:r>
              <w:rPr>
                <w:b/>
                <w:bCs/>
                <w:color w:val="1F4E79"/>
                <w:sz w:val="20"/>
                <w:szCs w:val="20"/>
              </w:rPr>
              <w:t xml:space="preserve">Submitted By</w:t>
            </w:r>
          </w:p>
        </w:tc>
        <w:tc>
          <w:tcPr>
            <w:tcW w:type="pct" w:w="70%"/>
            <w:tcMar>
              <w:top w:type="dxa" w:w="100"/>
              <w:left w:type="dxa" w:w="120"/>
              <w:bottom w:type="dxa" w:w="100"/>
              <w:right w:type="dxa" w:w="120"/>
            </w:tcMar>
            <w:vAlign w:val="center"/>
          </w:tcPr>
          <w:p>
            <w:r>
              <w:rPr>
                <w:sz w:val="20"/>
                <w:szCs w:val="20"/>
              </w:rPr>
              <w:t xml:space="preserve">Lavish Sharma</w:t>
            </w:r>
          </w:p>
        </w:tc>
      </w:tr>
      <w:tr>
        <w:tc>
          <w:tcPr>
            <w:tcW w:type="pct" w:w="30%"/>
            <w:shd w:fill="DCE6F1" w:val="clear"/>
            <w:tcMar>
              <w:top w:type="dxa" w:w="100"/>
              <w:left w:type="dxa" w:w="120"/>
              <w:bottom w:type="dxa" w:w="100"/>
              <w:right w:type="dxa" w:w="120"/>
            </w:tcMar>
            <w:vAlign w:val="center"/>
          </w:tcPr>
          <w:p>
            <w:r>
              <w:rPr>
                <w:b/>
                <w:bCs/>
                <w:color w:val="1F4E79"/>
                <w:sz w:val="20"/>
                <w:szCs w:val="20"/>
              </w:rPr>
              <w:t xml:space="preserve">Program</w:t>
            </w:r>
          </w:p>
        </w:tc>
        <w:tc>
          <w:tcPr>
            <w:tcW w:type="pct" w:w="70%"/>
            <w:tcMar>
              <w:top w:type="dxa" w:w="100"/>
              <w:left w:type="dxa" w:w="120"/>
              <w:bottom w:type="dxa" w:w="100"/>
              <w:right w:type="dxa" w:w="120"/>
            </w:tcMar>
            <w:vAlign w:val="center"/>
          </w:tcPr>
          <w:p>
            <w:r>
              <w:rPr>
                <w:sz w:val="20"/>
                <w:szCs w:val="20"/>
              </w:rPr>
              <w:t xml:space="preserve">IBM SkillsBuild Data Analytics with AI – Academic Internship</w:t>
            </w:r>
          </w:p>
        </w:tc>
      </w:tr>
      <w:tr>
        <w:tc>
          <w:tcPr>
            <w:tcW w:type="pct" w:w="30%"/>
            <w:shd w:fill="DCE6F1" w:val="clear"/>
            <w:tcMar>
              <w:top w:type="dxa" w:w="100"/>
              <w:left w:type="dxa" w:w="120"/>
              <w:bottom w:type="dxa" w:w="100"/>
              <w:right w:type="dxa" w:w="120"/>
            </w:tcMar>
            <w:vAlign w:val="center"/>
          </w:tcPr>
          <w:p>
            <w:r>
              <w:rPr>
                <w:b/>
                <w:bCs/>
                <w:color w:val="1F4E79"/>
                <w:sz w:val="20"/>
                <w:szCs w:val="20"/>
              </w:rPr>
              <w:t xml:space="preserve">Conducted By</w:t>
            </w:r>
          </w:p>
        </w:tc>
        <w:tc>
          <w:tcPr>
            <w:tcW w:type="pct" w:w="70%"/>
            <w:tcMar>
              <w:top w:type="dxa" w:w="100"/>
              <w:left w:type="dxa" w:w="120"/>
              <w:bottom w:type="dxa" w:w="100"/>
              <w:right w:type="dxa" w:w="120"/>
            </w:tcMar>
            <w:vAlign w:val="center"/>
          </w:tcPr>
          <w:p>
            <w:r>
              <w:rPr>
                <w:sz w:val="20"/>
                <w:szCs w:val="20"/>
              </w:rPr>
              <w:t xml:space="preserve">BharatCares &amp; AICTE</w:t>
            </w:r>
          </w:p>
        </w:tc>
      </w:tr>
    </w:tbl>
    <w:p>
      <w:r>
        <w:br w:type="page"/>
      </w:r>
    </w:p>
    <w:p>
      <w:pPr>
        <w:pStyle w:val="Heading1"/>
        <w:pBdr>
          <w:bottom w:val="single" w:color="1F4E79" w:sz="8" w:space="4"/>
        </w:pBdr>
        <w:spacing w:after="160" w:before="360"/>
      </w:pPr>
      <w:r>
        <w:rPr>
          <w:b/>
          <w:bCs/>
          <w:color w:val="1F4E79"/>
          <w:sz w:val="28"/>
          <w:szCs w:val="28"/>
        </w:rPr>
        <w:t xml:space="preserve">1. Introduction</w:t>
      </w:r>
    </w:p>
    <w:p>
      <w:pPr>
        <w:spacing w:after="160" w:line="300"/>
        <w:jc w:val="both"/>
      </w:pPr>
      <w:r>
        <w:rPr>
          <w:sz w:val="22"/>
          <w:szCs w:val="22"/>
        </w:rPr>
        <w:t xml:space="preserve">Customer churn occurs when customers stop doing business with a company. For telecom providers, retaining existing customers is significantly cheaper than acquiring new ones. This project leverages Data Analytics and Artificial Intelligence to analyze customer demographics, account information, and service usage to predict the likelihood of churn.</w:t>
      </w:r>
    </w:p>
    <w:p>
      <w:pPr>
        <w:pStyle w:val="Heading1"/>
        <w:pBdr>
          <w:bottom w:val="single" w:color="1F4E79" w:sz="8" w:space="4"/>
        </w:pBdr>
        <w:spacing w:after="160" w:before="360"/>
      </w:pPr>
      <w:r>
        <w:rPr>
          <w:b/>
          <w:bCs/>
          <w:color w:val="1F4E79"/>
          <w:sz w:val="28"/>
          <w:szCs w:val="28"/>
        </w:rPr>
        <w:t xml:space="preserve">2. Dataset Description</w:t>
      </w:r>
    </w:p>
    <w:p>
      <w:pPr>
        <w:spacing w:after="160" w:line="300"/>
        <w:jc w:val="both"/>
      </w:pPr>
      <w:r>
        <w:rPr>
          <w:sz w:val="22"/>
          <w:szCs w:val="22"/>
        </w:rPr>
        <w:t xml:space="preserve">The project uses the standard IBM Telco Customer Churn dataset. It contains 7,043 rows and 21 columns, featuring data on:</w:t>
      </w:r>
    </w:p>
    <w:p>
      <w:pPr>
        <w:pStyle w:val="ListParagraph"/>
        <w:numPr>
          <w:ilvl w:val="0"/>
          <w:numId w:val="2"/>
        </w:numPr>
        <w:spacing w:after="100" w:line="280"/>
      </w:pPr>
      <w:r>
        <w:rPr>
          <w:b/>
          <w:bCs/>
          <w:sz w:val="22"/>
          <w:szCs w:val="22"/>
        </w:rPr>
        <w:t xml:space="preserve">Demographics: </w:t>
      </w:r>
      <w:r>
        <w:rPr>
          <w:sz w:val="22"/>
          <w:szCs w:val="22"/>
        </w:rPr>
        <w:t xml:space="preserve">Gender, age range (SeniorCitizen), partners, and dependents.</w:t>
      </w:r>
    </w:p>
    <w:p>
      <w:pPr>
        <w:pStyle w:val="ListParagraph"/>
        <w:numPr>
          <w:ilvl w:val="0"/>
          <w:numId w:val="2"/>
        </w:numPr>
        <w:spacing w:after="100" w:line="280"/>
      </w:pPr>
      <w:r>
        <w:rPr>
          <w:b/>
          <w:bCs/>
          <w:sz w:val="22"/>
          <w:szCs w:val="22"/>
        </w:rPr>
        <w:t xml:space="preserve">Services: </w:t>
      </w:r>
      <w:r>
        <w:rPr>
          <w:sz w:val="22"/>
          <w:szCs w:val="22"/>
        </w:rPr>
        <w:t xml:space="preserve">Phone, internet, tech support, and streaming services.</w:t>
      </w:r>
    </w:p>
    <w:p>
      <w:pPr>
        <w:pStyle w:val="ListParagraph"/>
        <w:numPr>
          <w:ilvl w:val="0"/>
          <w:numId w:val="2"/>
        </w:numPr>
        <w:spacing w:after="100" w:line="280"/>
      </w:pPr>
      <w:r>
        <w:rPr>
          <w:b/>
          <w:bCs/>
          <w:sz w:val="22"/>
          <w:szCs w:val="22"/>
        </w:rPr>
        <w:t xml:space="preserve">Account details: </w:t>
      </w:r>
      <w:r>
        <w:rPr>
          <w:sz w:val="22"/>
          <w:szCs w:val="22"/>
        </w:rPr>
        <w:t xml:space="preserve">Tenure, contract type, payment method, and monthly/total charges.</w:t>
      </w:r>
    </w:p>
    <w:p>
      <w:pPr>
        <w:pStyle w:val="ListParagraph"/>
        <w:numPr>
          <w:ilvl w:val="0"/>
          <w:numId w:val="2"/>
        </w:numPr>
        <w:spacing w:after="100" w:line="280"/>
      </w:pPr>
      <w:r>
        <w:rPr>
          <w:b/>
          <w:bCs/>
          <w:sz w:val="22"/>
          <w:szCs w:val="22"/>
        </w:rPr>
        <w:t xml:space="preserve">Target Variable: </w:t>
      </w:r>
      <w:r>
        <w:rPr>
          <w:sz w:val="22"/>
          <w:szCs w:val="22"/>
        </w:rPr>
        <w:t xml:space="preserve">Churn (whether the customer left within the last month).</w:t>
      </w:r>
    </w:p>
    <w:p>
      <w:pPr>
        <w:pStyle w:val="Heading1"/>
        <w:pBdr>
          <w:bottom w:val="single" w:color="1F4E79" w:sz="8" w:space="4"/>
        </w:pBdr>
        <w:spacing w:after="160" w:before="360"/>
      </w:pPr>
      <w:r>
        <w:rPr>
          <w:b/>
          <w:bCs/>
          <w:color w:val="1F4E79"/>
          <w:sz w:val="28"/>
          <w:szCs w:val="28"/>
        </w:rPr>
        <w:t xml:space="preserve">3. Methodology &amp; Data Cleaning</w:t>
      </w:r>
    </w:p>
    <w:p>
      <w:pPr>
        <w:spacing w:after="160" w:line="300"/>
        <w:jc w:val="both"/>
      </w:pPr>
      <w:r>
        <w:rPr>
          <w:sz w:val="22"/>
          <w:szCs w:val="22"/>
        </w:rPr>
        <w:t xml:space="preserve">The dataset was processed using Python's Pandas and NumPy libraries.</w:t>
      </w:r>
    </w:p>
    <w:p>
      <w:pPr>
        <w:pStyle w:val="ListParagraph"/>
        <w:numPr>
          <w:ilvl w:val="0"/>
          <w:numId w:val="2"/>
        </w:numPr>
        <w:spacing w:after="100" w:line="280"/>
      </w:pPr>
      <w:r>
        <w:rPr>
          <w:b/>
          <w:bCs/>
          <w:sz w:val="22"/>
          <w:szCs w:val="22"/>
        </w:rPr>
        <w:t xml:space="preserve">Handling Missing Data: </w:t>
      </w:r>
      <w:r>
        <w:rPr>
          <w:sz w:val="22"/>
          <w:szCs w:val="22"/>
        </w:rPr>
        <w:t xml:space="preserve">The TotalCharges column contained hidden blank spaces, which were converted to NaN using pd.to_numeric(errors='coerce') and subsequently dropped.</w:t>
      </w:r>
    </w:p>
    <w:p>
      <w:pPr>
        <w:pStyle w:val="ListParagraph"/>
        <w:numPr>
          <w:ilvl w:val="0"/>
          <w:numId w:val="2"/>
        </w:numPr>
        <w:spacing w:after="100" w:line="280"/>
      </w:pPr>
      <w:r>
        <w:rPr>
          <w:b/>
          <w:bCs/>
          <w:sz w:val="22"/>
          <w:szCs w:val="22"/>
        </w:rPr>
        <w:t xml:space="preserve">Feature Selection: </w:t>
      </w:r>
      <w:r>
        <w:rPr>
          <w:sz w:val="22"/>
          <w:szCs w:val="22"/>
        </w:rPr>
        <w:t xml:space="preserve">Non-predictive columns like customerID were removed.</w:t>
      </w:r>
    </w:p>
    <w:p>
      <w:pPr>
        <w:pStyle w:val="ListParagraph"/>
        <w:numPr>
          <w:ilvl w:val="0"/>
          <w:numId w:val="2"/>
        </w:numPr>
        <w:spacing w:after="100" w:line="280"/>
      </w:pPr>
      <w:r>
        <w:rPr>
          <w:b/>
          <w:bCs/>
          <w:sz w:val="22"/>
          <w:szCs w:val="22"/>
        </w:rPr>
        <w:t xml:space="preserve">Encoding: </w:t>
      </w:r>
      <w:r>
        <w:rPr>
          <w:sz w:val="22"/>
          <w:szCs w:val="22"/>
        </w:rPr>
        <w:t xml:space="preserve">Categorical string variables (e.g., Contract, PaymentMethod) were converted into mathematical formats using One-Hot Encoding (pd.get_dummies) to avoid creating false ordinal relationships, while the target variable was encoded using LabelEncoder.</w:t>
      </w:r>
    </w:p>
    <w:p>
      <w:pPr>
        <w:pStyle w:val="Heading1"/>
        <w:pBdr>
          <w:bottom w:val="single" w:color="1F4E79" w:sz="8" w:space="4"/>
        </w:pBdr>
        <w:spacing w:after="160" w:before="360"/>
      </w:pPr>
      <w:r>
        <w:rPr>
          <w:b/>
          <w:bCs/>
          <w:color w:val="1F4E79"/>
          <w:sz w:val="28"/>
          <w:szCs w:val="28"/>
        </w:rPr>
        <w:t xml:space="preserve">4. Exploratory Data Analysis (EDA) Findings</w:t>
      </w:r>
    </w:p>
    <w:p>
      <w:pPr>
        <w:spacing w:after="160" w:line="300"/>
        <w:jc w:val="both"/>
      </w:pPr>
      <w:r>
        <w:rPr>
          <w:sz w:val="22"/>
          <w:szCs w:val="22"/>
        </w:rPr>
        <w:t xml:space="preserve">Visualizations created with Matplotlib and Seaborn revealed key insights:</w:t>
      </w:r>
    </w:p>
    <w:p>
      <w:pPr>
        <w:pStyle w:val="ListParagraph"/>
        <w:numPr>
          <w:ilvl w:val="0"/>
          <w:numId w:val="2"/>
        </w:numPr>
        <w:spacing w:after="100" w:line="280"/>
      </w:pPr>
      <w:r>
        <w:rPr>
          <w:b/>
          <w:bCs/>
          <w:sz w:val="22"/>
          <w:szCs w:val="22"/>
        </w:rPr>
        <w:t xml:space="preserve">Contract Type: </w:t>
      </w:r>
      <w:r>
        <w:rPr>
          <w:sz w:val="22"/>
          <w:szCs w:val="22"/>
        </w:rPr>
        <w:t xml:space="preserve">Customers on month-to-month contracts have the highest churn rate, whereas those on 1-year or 2-year contracts rarely churn.</w:t>
      </w:r>
    </w:p>
    <w:p>
      <w:pPr>
        <w:pStyle w:val="ListParagraph"/>
        <w:numPr>
          <w:ilvl w:val="0"/>
          <w:numId w:val="2"/>
        </w:numPr>
        <w:spacing w:after="100" w:line="280"/>
      </w:pPr>
      <w:r>
        <w:rPr>
          <w:b/>
          <w:bCs/>
          <w:sz w:val="22"/>
          <w:szCs w:val="22"/>
        </w:rPr>
        <w:t xml:space="preserve">Tenure: </w:t>
      </w:r>
      <w:r>
        <w:rPr>
          <w:sz w:val="22"/>
          <w:szCs w:val="22"/>
        </w:rPr>
        <w:t xml:space="preserve">New customers (low tenure) are highly volatile and prone to leaving. The longer a customer stays, the lower the probability of churn.</w:t>
      </w:r>
    </w:p>
    <w:p>
      <w:pPr>
        <w:pStyle w:val="ListParagraph"/>
        <w:numPr>
          <w:ilvl w:val="0"/>
          <w:numId w:val="2"/>
        </w:numPr>
        <w:spacing w:after="100" w:line="280"/>
      </w:pPr>
      <w:r>
        <w:rPr>
          <w:b/>
          <w:bCs/>
          <w:sz w:val="22"/>
          <w:szCs w:val="22"/>
        </w:rPr>
        <w:t xml:space="preserve">Monthly Charges: </w:t>
      </w:r>
      <w:r>
        <w:rPr>
          <w:sz w:val="22"/>
          <w:szCs w:val="22"/>
        </w:rPr>
        <w:t xml:space="preserve">Customers with higher monthly charges show a visibly higher churn rate compared to those paying less.</w:t>
      </w:r>
    </w:p>
    <w:p>
      <w:pPr>
        <w:pStyle w:val="Heading1"/>
        <w:pBdr>
          <w:bottom w:val="single" w:color="1F4E79" w:sz="8" w:space="4"/>
        </w:pBdr>
        <w:spacing w:after="160" w:before="360"/>
      </w:pPr>
      <w:r>
        <w:rPr>
          <w:b/>
          <w:bCs/>
          <w:color w:val="1F4E79"/>
          <w:sz w:val="28"/>
          <w:szCs w:val="28"/>
        </w:rPr>
        <w:t xml:space="preserve">5. AI Model Implementation</w:t>
      </w:r>
    </w:p>
    <w:p>
      <w:pPr>
        <w:spacing w:after="160" w:line="300"/>
        <w:jc w:val="both"/>
      </w:pPr>
      <w:r>
        <w:rPr>
          <w:sz w:val="22"/>
          <w:szCs w:val="22"/>
        </w:rPr>
        <w:t xml:space="preserve">A Random Forest Classifier was implemented using Scikit-Learn. The data was split into 80% training and 20% testing sets. Random Forest was chosen because it handles unscaled data effectively and uses multiple decision trees to reduce overfitting. The model was configured with class_weight='balanced' to mathematically account for the inherent class imbalance in churn data, since retained customers vastly outnumber churned 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1F4E79" w:val="clear"/>
            <w:tcMar>
              <w:top w:type="dxa" w:w="100"/>
              <w:left w:type="dxa" w:w="120"/>
              <w:bottom w:type="dxa" w:w="100"/>
              <w:right w:type="dxa" w:w="120"/>
            </w:tcMar>
            <w:vAlign w:val="center"/>
          </w:tcPr>
          <w:p>
            <w:r>
              <w:rPr>
                <w:b/>
                <w:bCs/>
                <w:color w:val="FFFFFF"/>
                <w:sz w:val="20"/>
                <w:szCs w:val="20"/>
              </w:rPr>
              <w:t xml:space="preserve">Parameter</w:t>
            </w:r>
          </w:p>
        </w:tc>
        <w:tc>
          <w:tcPr>
            <w:tcW w:type="pct" w:w="50%"/>
            <w:shd w:fill="1F4E79" w:val="clear"/>
            <w:tcMar>
              <w:top w:type="dxa" w:w="100"/>
              <w:left w:type="dxa" w:w="120"/>
              <w:bottom w:type="dxa" w:w="100"/>
              <w:right w:type="dxa" w:w="120"/>
            </w:tcMar>
            <w:vAlign w:val="center"/>
          </w:tcPr>
          <w:p>
            <w:r>
              <w:rPr>
                <w:b/>
                <w:bCs/>
                <w:color w:val="FFFFFF"/>
                <w:sz w:val="20"/>
                <w:szCs w:val="20"/>
              </w:rPr>
              <w:t xml:space="preserve">Configuration</w:t>
            </w:r>
          </w:p>
        </w:tc>
      </w:tr>
      <w:tr>
        <w:tc>
          <w:tcPr>
            <w:tcW w:type="pct" w:w="50%"/>
            <w:shd w:fill="F2F2F2" w:val="clear"/>
            <w:tcMar>
              <w:top w:type="dxa" w:w="90"/>
              <w:left w:type="dxa" w:w="120"/>
              <w:bottom w:type="dxa" w:w="90"/>
              <w:right w:type="dxa" w:w="120"/>
            </w:tcMar>
            <w:vAlign w:val="center"/>
          </w:tcPr>
          <w:p>
            <w:r>
              <w:rPr>
                <w:sz w:val="20"/>
                <w:szCs w:val="20"/>
              </w:rPr>
              <w:t xml:space="preserve">Algorithm</w:t>
            </w:r>
          </w:p>
        </w:tc>
        <w:tc>
          <w:tcPr>
            <w:tcW w:type="pct" w:w="50%"/>
            <w:shd w:fill="F2F2F2" w:val="clear"/>
            <w:tcMar>
              <w:top w:type="dxa" w:w="90"/>
              <w:left w:type="dxa" w:w="120"/>
              <w:bottom w:type="dxa" w:w="90"/>
              <w:right w:type="dxa" w:w="120"/>
            </w:tcMar>
            <w:vAlign w:val="center"/>
          </w:tcPr>
          <w:p>
            <w:r>
              <w:rPr>
                <w:sz w:val="20"/>
                <w:szCs w:val="20"/>
              </w:rPr>
              <w:t xml:space="preserve">Random Forest Classifier</w:t>
            </w:r>
          </w:p>
        </w:tc>
      </w:tr>
      <w:tr>
        <w:tc>
          <w:tcPr>
            <w:tcW w:type="pct" w:w="50%"/>
            <w:tcMar>
              <w:top w:type="dxa" w:w="90"/>
              <w:left w:type="dxa" w:w="120"/>
              <w:bottom w:type="dxa" w:w="90"/>
              <w:right w:type="dxa" w:w="120"/>
            </w:tcMar>
            <w:vAlign w:val="center"/>
          </w:tcPr>
          <w:p>
            <w:r>
              <w:rPr>
                <w:sz w:val="20"/>
                <w:szCs w:val="20"/>
              </w:rPr>
              <w:t xml:space="preserve">Library</w:t>
            </w:r>
          </w:p>
        </w:tc>
        <w:tc>
          <w:tcPr>
            <w:tcW w:type="pct" w:w="50%"/>
            <w:tcMar>
              <w:top w:type="dxa" w:w="90"/>
              <w:left w:type="dxa" w:w="120"/>
              <w:bottom w:type="dxa" w:w="90"/>
              <w:right w:type="dxa" w:w="120"/>
            </w:tcMar>
            <w:vAlign w:val="center"/>
          </w:tcPr>
          <w:p>
            <w:r>
              <w:rPr>
                <w:sz w:val="20"/>
                <w:szCs w:val="20"/>
              </w:rPr>
              <w:t xml:space="preserve">Scikit-Learn</w:t>
            </w:r>
          </w:p>
        </w:tc>
      </w:tr>
      <w:tr>
        <w:tc>
          <w:tcPr>
            <w:tcW w:type="pct" w:w="50%"/>
            <w:shd w:fill="F2F2F2" w:val="clear"/>
            <w:tcMar>
              <w:top w:type="dxa" w:w="90"/>
              <w:left w:type="dxa" w:w="120"/>
              <w:bottom w:type="dxa" w:w="90"/>
              <w:right w:type="dxa" w:w="120"/>
            </w:tcMar>
            <w:vAlign w:val="center"/>
          </w:tcPr>
          <w:p>
            <w:r>
              <w:rPr>
                <w:sz w:val="20"/>
                <w:szCs w:val="20"/>
              </w:rPr>
              <w:t xml:space="preserve">Train / Test Split</w:t>
            </w:r>
          </w:p>
        </w:tc>
        <w:tc>
          <w:tcPr>
            <w:tcW w:type="pct" w:w="50%"/>
            <w:shd w:fill="F2F2F2" w:val="clear"/>
            <w:tcMar>
              <w:top w:type="dxa" w:w="90"/>
              <w:left w:type="dxa" w:w="120"/>
              <w:bottom w:type="dxa" w:w="90"/>
              <w:right w:type="dxa" w:w="120"/>
            </w:tcMar>
            <w:vAlign w:val="center"/>
          </w:tcPr>
          <w:p>
            <w:r>
              <w:rPr>
                <w:sz w:val="20"/>
                <w:szCs w:val="20"/>
              </w:rPr>
              <w:t xml:space="preserve">80% / 20%</w:t>
            </w:r>
          </w:p>
        </w:tc>
      </w:tr>
      <w:tr>
        <w:tc>
          <w:tcPr>
            <w:tcW w:type="pct" w:w="50%"/>
            <w:tcMar>
              <w:top w:type="dxa" w:w="90"/>
              <w:left w:type="dxa" w:w="120"/>
              <w:bottom w:type="dxa" w:w="90"/>
              <w:right w:type="dxa" w:w="120"/>
            </w:tcMar>
            <w:vAlign w:val="center"/>
          </w:tcPr>
          <w:p>
            <w:r>
              <w:rPr>
                <w:sz w:val="20"/>
                <w:szCs w:val="20"/>
              </w:rPr>
              <w:t xml:space="preserve">Class Balancing</w:t>
            </w:r>
          </w:p>
        </w:tc>
        <w:tc>
          <w:tcPr>
            <w:tcW w:type="pct" w:w="50%"/>
            <w:tcMar>
              <w:top w:type="dxa" w:w="90"/>
              <w:left w:type="dxa" w:w="120"/>
              <w:bottom w:type="dxa" w:w="90"/>
              <w:right w:type="dxa" w:w="120"/>
            </w:tcMar>
            <w:vAlign w:val="center"/>
          </w:tcPr>
          <w:p>
            <w:r>
              <w:rPr>
                <w:sz w:val="20"/>
                <w:szCs w:val="20"/>
              </w:rPr>
              <w:t xml:space="preserve">class_weight = 'balanced'</w:t>
            </w:r>
          </w:p>
        </w:tc>
      </w:tr>
    </w:tbl>
    <w:p>
      <w:pPr>
        <w:pStyle w:val="Heading1"/>
        <w:pBdr>
          <w:bottom w:val="single" w:color="1F4E79" w:sz="8" w:space="4"/>
        </w:pBdr>
        <w:spacing w:after="160" w:before="360"/>
      </w:pPr>
      <w:r>
        <w:rPr>
          <w:b/>
          <w:bCs/>
          <w:color w:val="1F4E79"/>
          <w:sz w:val="28"/>
          <w:szCs w:val="28"/>
        </w:rPr>
        <w:t xml:space="preserve">6. Results &amp; Conclusion</w:t>
      </w:r>
    </w:p>
    <w:p>
      <w:pPr>
        <w:spacing w:after="160" w:line="300"/>
        <w:jc w:val="both"/>
      </w:pPr>
      <w:r>
        <w:rPr>
          <w:sz w:val="22"/>
          <w:szCs w:val="22"/>
        </w:rPr>
        <w:t xml:space="preserve">The AI model successfully predicted customer churn with an accuracy of approximately 79–80%. The confusion matrix and classification report confirmed that the model effectively balances precision and recall when identifying at-risk customers.</w:t>
      </w:r>
    </w:p>
    <w:p>
      <w:pPr>
        <w:pStyle w:val="Heading2"/>
        <w:spacing w:after="120" w:before="240"/>
      </w:pPr>
      <w:r>
        <w:rPr>
          <w:b/>
          <w:bCs/>
          <w:color w:val="1F4E79"/>
          <w:sz w:val="24"/>
          <w:szCs w:val="24"/>
        </w:rPr>
        <w:t xml:space="preserve">Business Recommendation</w:t>
      </w:r>
    </w:p>
    <w:p>
      <w:pPr>
        <w:spacing w:after="160" w:line="300"/>
        <w:jc w:val="both"/>
      </w:pPr>
      <w:r>
        <w:rPr>
          <w:sz w:val="22"/>
          <w:szCs w:val="22"/>
        </w:rPr>
        <w:t xml:space="preserve">The company should focus retention efforts on new customers (tenure &lt; 6 months) and those on month-to-month contracts. Offering discounted annual contracts or targeted promotions to high-bill customers could significantly reduce churn.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2026-09-24T17:43:23.929Z</dcterms:created>
  <dcterms:modified xsi:type="dcterms:W3CDTF">2026-09-24T17:43:23.933Z</dcterms:modified>
</cp:coreProperties>
</file>

<file path=docProps/custom.xml><?xml version="1.0" encoding="utf-8"?>
<Properties xmlns="http://schemas.openxmlformats.org/officeDocument/2006/custom-properties" xmlns:vt="http://schemas.openxmlformats.org/officeDocument/2006/docPropsVTypes"/>
</file>