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Phonic Pals: Bilingual Language Learning and Community-Owned Voice Data for Uganda</w:t>
      </w:r>
    </w:p>
    <w:p>
      <w:pPr>
        <w:pStyle w:val="Author"/>
      </w:pPr>
      <w:r>
        <w:t xml:space="preserve">Kayuwawa Properties Ltd</w:t>
      </w:r>
    </w:p>
    <w:p>
      <w:pPr>
        <w:pStyle w:val="Date"/>
      </w:pPr>
      <w:r>
        <w:t xml:space="preserve">May 2026</w:t>
      </w:r>
    </w:p>
    <w:p>
      <w:r>
        <w:pict>
          <v:rect style="width:0;height:1.5pt" o:hralign="center" o:hrstd="t" o:hr="t"/>
        </w:pict>
      </w:r>
    </w:p>
    <w:p>
      <w:pPr>
        <w:pStyle w:val="FirstParagraph"/>
      </w:pPr>
      <w:r>
        <w:rPr>
          <w:b/>
          <w:bCs/>
        </w:rPr>
        <w:t xml:space="preserve">A funding narrative weaving together technology, school infrastructure, and community ownership — for submission to Google.org, Mozilla Foundation, AI4D Africa / IDRC, UNESCO, and diaspora foundations.</w:t>
      </w:r>
    </w:p>
    <w:p>
      <w:r>
        <w:pict>
          <v:rect style="width:0;height:1.5pt" o:hralign="center" o:hrstd="t" o:hr="t"/>
        </w:pict>
      </w:r>
    </w:p>
    <w:bookmarkStart w:id="9" w:name="X987ca039d032af33052d78d2396413b916a757b"/>
    <w:p>
      <w:pPr>
        <w:pStyle w:val="Heading1"/>
      </w:pPr>
      <w:r>
        <w:t xml:space="preserve">The Problem: Two Language Crises, One Quiet Emergency</w:t>
      </w:r>
    </w:p>
    <w:p>
      <w:pPr>
        <w:pStyle w:val="FirstParagraph"/>
      </w:pPr>
      <w:r>
        <w:t xml:space="preserve">Uganda has forty-plus living languages. Over three million people speak Lusoga. Over seven million speak Luganda. Millions more speak Runyankore, Acholi, Ateso, Alur, Karamojong, and dozens of others. And yet, not one of these languages has commercial-grade speech recognition. Not one has a natural text-to-speech voice. Not one has a verified digital audio corpus large enough to train modern AI models.</w:t>
      </w:r>
    </w:p>
    <w:p>
      <w:pPr>
        <w:pStyle w:val="BodyText"/>
      </w:pPr>
      <w:r>
        <w:t xml:space="preserve">That is the first crisis. It is a silent one. These languages are not dying in the traditional sense — children still speak them in villages, grandparents still tell stories in them. But they have no digital presence. And as the world moves toward voice interfaces, AI assistants, and speech-driven tools, a language without a digital footprint becomes invisible. Left unrecorded and unmodelled, these languages will not disappear tomorrow. They will simply be locked out of the technological future.</w:t>
      </w:r>
    </w:p>
    <w:p>
      <w:pPr>
        <w:pStyle w:val="BodyText"/>
      </w:pPr>
      <w:r>
        <w:t xml:space="preserve">The second crisis is more immediately visible. Uganda’s children learn English as the medium of instruction from Primary One. But in a typical rural classroom of eighty students with one teacher, no child receives individual feedback on how they actually</w:t>
      </w:r>
      <w:r>
        <w:t xml:space="preserve"> </w:t>
      </w:r>
      <w:r>
        <w:rPr>
          <w:i/>
          <w:iCs/>
        </w:rPr>
        <w:t xml:space="preserve">sound</w:t>
      </w:r>
      <w:r>
        <w:t xml:space="preserve"> </w:t>
      </w:r>
      <w:r>
        <w:t xml:space="preserve">when they speak English. That feedback gap compounds across years of schooling. By the time a capable young person walks into a job interview, a university presentation, or a professional meeting, the barrier is not their knowledge — it is the quiet anxiety of being heard.</w:t>
      </w:r>
    </w:p>
    <w:p>
      <w:pPr>
        <w:pStyle w:val="BodyText"/>
      </w:pPr>
      <w:r>
        <w:t xml:space="preserve">These two crises appear unrelated. An English pronunciation gap and a Ugandan language data gap — different problems, different solutions, different funders. But they share the same root cause: the absence of an affordable, scalable, offline tool that listens carefully and responds honestly.</w:t>
      </w:r>
    </w:p>
    <w:bookmarkEnd w:id="9"/>
    <w:bookmarkStart w:id="10" w:name="the-solution-one-game-two-outcomes"/>
    <w:p>
      <w:pPr>
        <w:pStyle w:val="Heading1"/>
      </w:pPr>
      <w:r>
        <w:t xml:space="preserve">The Solution: One Game, Two Outcomes</w:t>
      </w:r>
    </w:p>
    <w:p>
      <w:pPr>
        <w:pStyle w:val="FirstParagraph"/>
      </w:pPr>
      <w:r>
        <w:t xml:space="preserve">Phonic Pals is a bilingual pronunciation game that runs entirely offline on a single laptop. It solves both crises simultaneously, in the same fifteen-minute session, with the same group of children.</w:t>
      </w:r>
    </w:p>
    <w:p>
      <w:pPr>
        <w:pStyle w:val="BodyText"/>
      </w:pPr>
      <w:r>
        <w:rPr>
          <w:b/>
          <w:bCs/>
        </w:rPr>
        <w:t xml:space="preserve">Phase 1: Hear and Repeat.</w:t>
      </w:r>
      <w:r>
        <w:t xml:space="preserve"> </w:t>
      </w:r>
      <w:r>
        <w:t xml:space="preserve">A picture appears on screen — a cow, a mango, a bunch of matooke. The app speaks the English word aloud. A child hits a buzzer and repeats the word. An AI model running directly on the laptop analyses the recording and gives instant star-rated feedback. No internet. No cloud. No monthly subscription. Just immediate, honest feedback that a single teacher in a class of eighty could never give.</w:t>
      </w:r>
    </w:p>
    <w:p>
      <w:pPr>
        <w:pStyle w:val="BodyText"/>
      </w:pPr>
      <w:r>
        <w:rPr>
          <w:b/>
          <w:bCs/>
        </w:rPr>
        <w:t xml:space="preserve">Phase 2: Teach the Machine.</w:t>
      </w:r>
      <w:r>
        <w:t xml:space="preserve"> </w:t>
      </w:r>
      <w:r>
        <w:t xml:space="preserve">The same picture appears again. The app asks:</w:t>
      </w:r>
      <w:r>
        <w:t xml:space="preserve"> </w:t>
      </w:r>
      <w:r>
        <w:t xml:space="preserve">“Now teach me</w:t>
      </w:r>
      <w:r>
        <w:t xml:space="preserve"> </w:t>
      </w:r>
      <w:r>
        <w:rPr>
          <w:b/>
          <w:bCs/>
        </w:rPr>
        <w:t xml:space="preserve">your</w:t>
      </w:r>
      <w:r>
        <w:t xml:space="preserve"> </w:t>
      </w:r>
      <w:r>
        <w:t xml:space="preserve">word.”</w:t>
      </w:r>
      <w:r>
        <w:t xml:space="preserve"> </w:t>
      </w:r>
      <w:r>
        <w:t xml:space="preserve">The child speaks the Lusoga equivalent into a push-to-talk microphone. A teacher sitting at the side of the room — acting as a Cultural Umpire — taps confirm or reject on a simple phone screen. Every confirmed recording is saved locally with full metadata: word, language, speaker age, school, date.</w:t>
      </w:r>
    </w:p>
    <w:p>
      <w:pPr>
        <w:pStyle w:val="BodyText"/>
      </w:pPr>
      <w:r>
        <w:rPr>
          <w:b/>
          <w:bCs/>
        </w:rPr>
        <w:t xml:space="preserve">Phase 3: Build the Corpus.</w:t>
      </w:r>
      <w:r>
        <w:t xml:space="preserve"> </w:t>
      </w:r>
      <w:r>
        <w:t xml:space="preserve">Over hundreds of sessions across many schools, children generate a peer-verified, ethically sourced audio corpus for their mother tongue. No child sees the data pipeline. They just play, learn, and win. But what they are building, without knowing it, is the raw material needed to eventually build speech recognition, text-to-speech voices, and translation tools for Ugandan languages.</w:t>
      </w:r>
    </w:p>
    <w:p>
      <w:pPr>
        <w:pStyle w:val="BodyText"/>
      </w:pPr>
      <w:r>
        <w:t xml:space="preserve">Phonic Pals was born from a birthday party. The founder’s twin daughters, Hannah and Harmony, were turning seven. Their village cousins visited — children more comfortable in Lusoga than in English. The founder split the room into two teams: English speakers on one side, Lusoga speakers on the other. The English side called out a word. The Lusoga side translated it. Then they reversed it. For the first time that afternoon, the twins leaned forward. They</w:t>
      </w:r>
      <w:r>
        <w:t xml:space="preserve"> </w:t>
      </w:r>
      <w:r>
        <w:rPr>
          <w:i/>
          <w:iCs/>
        </w:rPr>
        <w:t xml:space="preserve">needed</w:t>
      </w:r>
      <w:r>
        <w:t xml:space="preserve"> </w:t>
      </w:r>
      <w:r>
        <w:t xml:space="preserve">to know the Lusoga word for</w:t>
      </w:r>
      <w:r>
        <w:t xml:space="preserve"> </w:t>
      </w:r>
      <w:r>
        <w:t xml:space="preserve">“umbrella”</w:t>
      </w:r>
      <w:r>
        <w:t xml:space="preserve"> </w:t>
      </w:r>
      <w:r>
        <w:t xml:space="preserve">— not because their father told them they should, but because they needed it to win. The cousins from the village were suddenly the experts in the room. Nobody felt behind. Everybody felt needed.</w:t>
      </w:r>
    </w:p>
    <w:p>
      <w:pPr>
        <w:pStyle w:val="BodyText"/>
      </w:pPr>
      <w:r>
        <w:t xml:space="preserve">The game worked because it created a reason to want to know. Phonic Pals is that reason, scaled.</w:t>
      </w:r>
    </w:p>
    <w:bookmarkEnd w:id="10"/>
    <w:bookmarkStart w:id="14" w:name="X757705d0db9f63956f8f7c17d263444d42f4811"/>
    <w:p>
      <w:pPr>
        <w:pStyle w:val="Heading1"/>
      </w:pPr>
      <w:r>
        <w:t xml:space="preserve">The Three-Legged Stool: Infrastructure, Community, Technology</w:t>
      </w:r>
    </w:p>
    <w:p>
      <w:pPr>
        <w:pStyle w:val="FirstParagraph"/>
      </w:pPr>
      <w:r>
        <w:t xml:space="preserve">Phonic Pals does not depend on a single deployment model. It rests on three independent but complementary pillars, each reaching a different population, each with a distinct partnership.</w:t>
      </w:r>
    </w:p>
    <w:bookmarkStart w:id="11" w:name="leg-one-schools-tech-reach-africa"/>
    <w:p>
      <w:pPr>
        <w:pStyle w:val="Heading2"/>
      </w:pPr>
      <w:r>
        <w:t xml:space="preserve">Leg One: Schools — Tech Reach Africa</w:t>
      </w:r>
    </w:p>
    <w:p>
      <w:pPr>
        <w:pStyle w:val="FirstParagraph"/>
      </w:pPr>
      <w:r>
        <w:t xml:space="preserve">Tech Reach Africa operates mobile computer labs serving twenty-one schools in East and Central Uganda. They have three hundred and fifty teacher champions who have already been introduced to digital tools. They deploy to schools without electricity, without internet, and without IT staff — and they do it reliably.</w:t>
      </w:r>
    </w:p>
    <w:p>
      <w:pPr>
        <w:pStyle w:val="BodyText"/>
      </w:pPr>
      <w:r>
        <w:t xml:space="preserve">Phonic Pals is a natural extension of their model. The mobile lab already carries laptops. Adding a USB microphone, a buzzer button, and a pre-loaded word pack turns the lab into a language learning station. The teacher champion runs the session. The school provides the children. Tech Reach Africa provides the logistics, the trust, and the network.</w:t>
      </w:r>
    </w:p>
    <w:p>
      <w:pPr>
        <w:pStyle w:val="BodyText"/>
      </w:pPr>
      <w:r>
        <w:rPr>
          <w:b/>
          <w:bCs/>
        </w:rPr>
        <w:t xml:space="preserve">Reach: 21 schools → 4,000+ children per year in Phase 2.</w:t>
      </w:r>
    </w:p>
    <w:bookmarkEnd w:id="11"/>
    <w:bookmarkStart w:id="12" w:name="leg-two-community-place-of-grace"/>
    <w:p>
      <w:pPr>
        <w:pStyle w:val="Heading2"/>
      </w:pPr>
      <w:r>
        <w:t xml:space="preserve">Leg Two: Community — Place of Grace</w:t>
      </w:r>
    </w:p>
    <w:p>
      <w:pPr>
        <w:pStyle w:val="FirstParagraph"/>
      </w:pPr>
      <w:r>
        <w:t xml:space="preserve">Place of Grace is a self-sustaining community being built on family land in rural Busoga. It is not an NGO project. It is a permanent settlement with a multipurpose centre, library, classrooms, childcare, community kitchen, vocational training, garden, and intergenerational housing. The elders live on the land. The children grow up on the land. The land is owned by the community and governed by its own community-based organisation.</w:t>
      </w:r>
    </w:p>
    <w:p>
      <w:pPr>
        <w:pStyle w:val="BodyText"/>
      </w:pPr>
      <w:r>
        <w:t xml:space="preserve">Phonic Pals integrates into Place of Grace in four ways:</w:t>
      </w:r>
      <w:r>
        <w:t xml:space="preserve"> </w:t>
      </w:r>
      <w:r>
        <w:t xml:space="preserve">1. The Phonic Unit lives in the multipurpose centre’s library. Children play the game in scheduled sessions.</w:t>
      </w:r>
      <w:r>
        <w:t xml:space="preserve"> </w:t>
      </w:r>
      <w:r>
        <w:t xml:space="preserve">2. Elders serve as Cultural Umpires, paid a modest fee for confirming that the Lusoga words children speak are correct. What they carry — their mother tongue — becomes a dignified income stream.</w:t>
      </w:r>
      <w:r>
        <w:t xml:space="preserve"> </w:t>
      </w:r>
      <w:r>
        <w:t xml:space="preserve">3. The vocational training programme includes a module on assembling and maintaining Phonic Units. A young person who completes the module learns solar electronics, hardware assembly, and basic troubleshooting — a skill with market value beyond the project.</w:t>
      </w:r>
      <w:r>
        <w:t xml:space="preserve"> </w:t>
      </w:r>
      <w:r>
        <w:t xml:space="preserve">4. The library becomes the archive. Every recording generated on the property is stored physically and digitally, owned by the Place of Grace CBO.</w:t>
      </w:r>
    </w:p>
    <w:p>
      <w:pPr>
        <w:pStyle w:val="BodyText"/>
      </w:pPr>
      <w:r>
        <w:rPr>
          <w:b/>
          <w:bCs/>
        </w:rPr>
        <w:t xml:space="preserve">Reach: One intentional community → a replicable model for language-preserving settlements.</w:t>
      </w:r>
    </w:p>
    <w:bookmarkEnd w:id="12"/>
    <w:bookmarkStart w:id="13" w:name="leg-three-technology-the-phonic-unit"/>
    <w:p>
      <w:pPr>
        <w:pStyle w:val="Heading2"/>
      </w:pPr>
      <w:r>
        <w:t xml:space="preserve">Leg Three: Technology — The Phonic Unit</w:t>
      </w:r>
    </w:p>
    <w:p>
      <w:pPr>
        <w:pStyle w:val="FirstParagraph"/>
      </w:pPr>
      <w:r>
        <w:t xml:space="preserve">The Phonic Unit is the hardware backbone. A self-contained, solar-powered deployment package built from salvaged and locally available components:</w:t>
      </w:r>
    </w:p>
    <w:p>
      <w:pPr>
        <w:pStyle w:val="Compact"/>
        <w:numPr>
          <w:ilvl w:val="0"/>
          <w:numId w:val="1001"/>
        </w:numPr>
      </w:pPr>
      <w:r>
        <w:t xml:space="preserve">Refurbished laptop in a padded bay</w:t>
      </w:r>
    </w:p>
    <w:p>
      <w:pPr>
        <w:pStyle w:val="Compact"/>
        <w:numPr>
          <w:ilvl w:val="0"/>
          <w:numId w:val="1001"/>
        </w:numPr>
      </w:pPr>
      <w:r>
        <w:t xml:space="preserve">Two arcade-style slam buttons (Team A and Team B)</w:t>
      </w:r>
    </w:p>
    <w:p>
      <w:pPr>
        <w:pStyle w:val="Compact"/>
        <w:numPr>
          <w:ilvl w:val="0"/>
          <w:numId w:val="1001"/>
        </w:numPr>
      </w:pPr>
      <w:r>
        <w:t xml:space="preserve">Two push-to-talk microphones with USB audio interface</w:t>
      </w:r>
    </w:p>
    <w:p>
      <w:pPr>
        <w:pStyle w:val="Compact"/>
        <w:numPr>
          <w:ilvl w:val="0"/>
          <w:numId w:val="1001"/>
        </w:numPr>
      </w:pPr>
      <w:r>
        <w:t xml:space="preserve">100W solar panel on a hinged lid mount</w:t>
      </w:r>
    </w:p>
    <w:p>
      <w:pPr>
        <w:pStyle w:val="Compact"/>
        <w:numPr>
          <w:ilvl w:val="0"/>
          <w:numId w:val="1001"/>
        </w:numPr>
      </w:pPr>
      <w:r>
        <w:t xml:space="preserve">36Ah–50Ah LiFePO4 battery with PWM charge controller</w:t>
      </w:r>
    </w:p>
    <w:p>
      <w:pPr>
        <w:pStyle w:val="Compact"/>
        <w:numPr>
          <w:ilvl w:val="0"/>
          <w:numId w:val="1001"/>
        </w:numPr>
      </w:pPr>
      <w:r>
        <w:t xml:space="preserve">12V to 19V boost converter for laptop power</w:t>
      </w:r>
    </w:p>
    <w:p>
      <w:pPr>
        <w:pStyle w:val="Compact"/>
        <w:numPr>
          <w:ilvl w:val="0"/>
          <w:numId w:val="1001"/>
        </w:numPr>
      </w:pPr>
      <w:r>
        <w:t xml:space="preserve">Class-D amplified speaker system</w:t>
      </w:r>
    </w:p>
    <w:p>
      <w:pPr>
        <w:pStyle w:val="Compact"/>
        <w:numPr>
          <w:ilvl w:val="0"/>
          <w:numId w:val="1001"/>
        </w:numPr>
      </w:pPr>
      <w:r>
        <w:t xml:space="preserve">All packed in a hard-sided carry case</w:t>
      </w:r>
    </w:p>
    <w:p>
      <w:pPr>
        <w:pStyle w:val="FirstParagraph"/>
      </w:pPr>
      <w:r>
        <w:t xml:space="preserve">Total cost: approximately UGX 900,000 to 1,400,000 (excl. laptop), or roughly 250 to 350 US dollars.</w:t>
      </w:r>
    </w:p>
    <w:p>
      <w:pPr>
        <w:pStyle w:val="BodyText"/>
      </w:pPr>
      <w:r>
        <w:t xml:space="preserve">The unit is designed to be assembled by a non-specialist using scrap components. It is designed to be repaired in the field with hand tools. It is designed to survive a motorcycle ride over a dirt road, a day of use by fifty children, and a night charging from the sun.</w:t>
      </w:r>
    </w:p>
    <w:bookmarkEnd w:id="13"/>
    <w:bookmarkEnd w:id="14"/>
    <w:bookmarkStart w:id="15" w:name="X6388fa4f1a360a9b6946272133c48127b6633e7"/>
    <w:p>
      <w:pPr>
        <w:pStyle w:val="Heading1"/>
      </w:pPr>
      <w:r>
        <w:t xml:space="preserve">The Data: Who Owns It and Why That Matters</w:t>
      </w:r>
    </w:p>
    <w:p>
      <w:pPr>
        <w:pStyle w:val="FirstParagraph"/>
      </w:pPr>
      <w:r>
        <w:t xml:space="preserve">Every piece of language data generated by Phonic Pals — every recording, every umpire confirmation, every star rating — is owned by the community that produced it.</w:t>
      </w:r>
    </w:p>
    <w:p>
      <w:pPr>
        <w:pStyle w:val="BodyText"/>
      </w:pPr>
      <w:r>
        <w:t xml:space="preserve">This is not a legal formality. It is the central design principle of the project. Tech Reach Africa schools own their schools’ data. Place of Grace owns its own data. Kayuwawa Properties Ltd, the technology developer, does not claim ownership of any language data generated by Phonic Pals deployments. The software is open source (MIT License). The word packs are public (CC BY-NC-SA). The hardware design is open documentation.</w:t>
      </w:r>
    </w:p>
    <w:p>
      <w:pPr>
        <w:pStyle w:val="BodyText"/>
      </w:pPr>
      <w:r>
        <w:t xml:space="preserve">Why this matters: the global AI industry currently extracts language data from communities without meaningful consent or compensation. A large language model trained on scraped Luganda text benefits the model developer, not the Luganda speaker. Phonic Pals inverts this. The community grants access to its data on its own terms. If a university researcher wants to train a Lusoga speech recogniser, they negotiate with the community — not with Kayuwawa Properties, not with a foreign corporation. The leverage stays local.</w:t>
      </w:r>
    </w:p>
    <w:p>
      <w:pPr>
        <w:pStyle w:val="BodyText"/>
      </w:pPr>
      <w:r>
        <w:t xml:space="preserve">This approach is consistent with the Mozilla Foundation’s Responsible AI principles, the IDRC’s emphasis on community-owned data, and the UNESCO Recommendation on the Ethics of Artificial Intelligence.</w:t>
      </w:r>
    </w:p>
    <w:bookmarkEnd w:id="15"/>
    <w:bookmarkStart w:id="16" w:name="the-ask"/>
    <w:p>
      <w:pPr>
        <w:pStyle w:val="Heading1"/>
      </w:pPr>
      <w:r>
        <w:t xml:space="preserve">The Ask</w:t>
      </w:r>
    </w:p>
    <w:p>
      <w:pPr>
        <w:pStyle w:val="FirstParagraph"/>
      </w:pPr>
      <w:r>
        <w:t xml:space="preserve">We are requesting USD 50,000 to 70,000 for Phase 2, covering the following:</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Cost (USD)</w:t>
            </w:r>
          </w:p>
        </w:tc>
      </w:tr>
      <w:tr>
        <w:tc>
          <w:tcPr/>
          <w:p>
            <w:pPr>
              <w:pStyle w:val="Compact"/>
            </w:pPr>
            <w:r>
              <w:t xml:space="preserve">6 Phonic Units (complete, solar-equipped)</w:t>
            </w:r>
          </w:p>
        </w:tc>
        <w:tc>
          <w:tcPr/>
          <w:p>
            <w:pPr>
              <w:pStyle w:val="Compact"/>
            </w:pPr>
            <w:r>
              <w:t xml:space="preserve">7,200</w:t>
            </w:r>
          </w:p>
        </w:tc>
      </w:tr>
      <w:tr>
        <w:tc>
          <w:tcPr/>
          <w:p>
            <w:pPr>
              <w:pStyle w:val="Compact"/>
            </w:pPr>
            <w:r>
              <w:t xml:space="preserve">3 additional language word packs (Luganda, Runyankore, Acholi)</w:t>
            </w:r>
          </w:p>
        </w:tc>
        <w:tc>
          <w:tcPr/>
          <w:p>
            <w:pPr>
              <w:pStyle w:val="Compact"/>
            </w:pPr>
            <w:r>
              <w:t xml:space="preserve">3,000</w:t>
            </w:r>
          </w:p>
        </w:tc>
      </w:tr>
      <w:tr>
        <w:tc>
          <w:tcPr/>
          <w:p>
            <w:pPr>
              <w:pStyle w:val="Compact"/>
            </w:pPr>
            <w:r>
              <w:t xml:space="preserve">100 school deployments via Tech Reach Africa network</w:t>
            </w:r>
          </w:p>
        </w:tc>
        <w:tc>
          <w:tcPr/>
          <w:p>
            <w:pPr>
              <w:pStyle w:val="Compact"/>
            </w:pPr>
            <w:r>
              <w:t xml:space="preserve">10,000</w:t>
            </w:r>
          </w:p>
        </w:tc>
      </w:tr>
      <w:tr>
        <w:tc>
          <w:tcPr/>
          <w:p>
            <w:pPr>
              <w:pStyle w:val="Compact"/>
            </w:pPr>
            <w:r>
              <w:t xml:space="preserve">Place of Grace pilot implementation (Unit + training + elders)</w:t>
            </w:r>
          </w:p>
        </w:tc>
        <w:tc>
          <w:tcPr/>
          <w:p>
            <w:pPr>
              <w:pStyle w:val="Compact"/>
            </w:pPr>
            <w:r>
              <w:t xml:space="preserve">5,000</w:t>
            </w:r>
          </w:p>
        </w:tc>
      </w:tr>
      <w:tr>
        <w:tc>
          <w:tcPr/>
          <w:p>
            <w:pPr>
              <w:pStyle w:val="Compact"/>
            </w:pPr>
            <w:r>
              <w:t xml:space="preserve">Data pipeline infrastructure (simple cloud sync)</w:t>
            </w:r>
          </w:p>
        </w:tc>
        <w:tc>
          <w:tcPr/>
          <w:p>
            <w:pPr>
              <w:pStyle w:val="Compact"/>
            </w:pPr>
            <w:r>
              <w:t xml:space="preserve">3,000</w:t>
            </w:r>
          </w:p>
        </w:tc>
      </w:tr>
      <w:tr>
        <w:tc>
          <w:tcPr/>
          <w:p>
            <w:pPr>
              <w:pStyle w:val="Compact"/>
            </w:pPr>
            <w:r>
              <w:t xml:space="preserve">Training materials, teacher guides, printed resources</w:t>
            </w:r>
          </w:p>
        </w:tc>
        <w:tc>
          <w:tcPr/>
          <w:p>
            <w:pPr>
              <w:pStyle w:val="Compact"/>
            </w:pPr>
            <w:r>
              <w:t xml:space="preserve">2,500</w:t>
            </w:r>
          </w:p>
        </w:tc>
      </w:tr>
      <w:tr>
        <w:tc>
          <w:tcPr/>
          <w:p>
            <w:pPr>
              <w:pStyle w:val="Compact"/>
            </w:pPr>
            <w:r>
              <w:t xml:space="preserve">Monitoring, evaluation, and impact reporting</w:t>
            </w:r>
          </w:p>
        </w:tc>
        <w:tc>
          <w:tcPr/>
          <w:p>
            <w:pPr>
              <w:pStyle w:val="Compact"/>
            </w:pPr>
            <w:r>
              <w:t xml:space="preserve">5,000</w:t>
            </w:r>
          </w:p>
        </w:tc>
      </w:tr>
      <w:tr>
        <w:tc>
          <w:tcPr/>
          <w:p>
            <w:pPr>
              <w:pStyle w:val="Compact"/>
            </w:pPr>
            <w:r>
              <w:t xml:space="preserve">Videography and documentation for funder reporting</w:t>
            </w:r>
          </w:p>
        </w:tc>
        <w:tc>
          <w:tcPr/>
          <w:p>
            <w:pPr>
              <w:pStyle w:val="Compact"/>
            </w:pPr>
            <w:r>
              <w:t xml:space="preserve">3,500</w:t>
            </w:r>
          </w:p>
        </w:tc>
      </w:tr>
      <w:tr>
        <w:tc>
          <w:tcPr/>
          <w:p>
            <w:pPr>
              <w:pStyle w:val="Compact"/>
            </w:pPr>
            <w:r>
              <w:t xml:space="preserve">Project coordination (part-time, 12 months)</w:t>
            </w:r>
          </w:p>
        </w:tc>
        <w:tc>
          <w:tcPr/>
          <w:p>
            <w:pPr>
              <w:pStyle w:val="Compact"/>
            </w:pPr>
            <w:r>
              <w:t xml:space="preserve">6,000</w:t>
            </w:r>
          </w:p>
        </w:tc>
      </w:tr>
      <w:tr>
        <w:tc>
          <w:tcPr/>
          <w:p>
            <w:pPr>
              <w:pStyle w:val="Compact"/>
            </w:pPr>
            <w:r>
              <w:t xml:space="preserve">Contingency and buffer</w:t>
            </w:r>
          </w:p>
        </w:tc>
        <w:tc>
          <w:tcPr/>
          <w:p>
            <w:pPr>
              <w:pStyle w:val="Compact"/>
            </w:pPr>
            <w:r>
              <w:t xml:space="preserve">4,800</w:t>
            </w:r>
          </w:p>
        </w:tc>
      </w:tr>
      <w:tr>
        <w:tc>
          <w:tcPr/>
          <w:p>
            <w:pPr>
              <w:pStyle w:val="Compact"/>
            </w:pPr>
            <w:r>
              <w:rPr>
                <w:b/>
                <w:bCs/>
              </w:rPr>
              <w:t xml:space="preserve">Total</w:t>
            </w:r>
          </w:p>
        </w:tc>
        <w:tc>
          <w:tcPr/>
          <w:p>
            <w:pPr>
              <w:pStyle w:val="Compact"/>
            </w:pPr>
            <w:r>
              <w:rPr>
                <w:b/>
                <w:bCs/>
              </w:rPr>
              <w:t xml:space="preserve">50,000</w:t>
            </w:r>
          </w:p>
        </w:tc>
      </w:tr>
    </w:tbl>
    <w:p>
      <w:pPr>
        <w:pStyle w:val="BodyText"/>
      </w:pPr>
      <w:r>
        <w:rPr>
          <w:b/>
          <w:bCs/>
        </w:rPr>
        <w:t xml:space="preserve">Phase 1 seed investment (already committed):</w:t>
      </w:r>
      <w:r>
        <w:t xml:space="preserve"> </w:t>
      </w:r>
      <w:r>
        <w:t xml:space="preserve">UGX 1,200,000–1,500,000 (~USD 320–400) covered by the founding partners for the first Phonic Unit prototype, Lusoga word pack development, pilot school session, and professional videography.</w:t>
      </w:r>
    </w:p>
    <w:p>
      <w:pPr>
        <w:pStyle w:val="BodyText"/>
      </w:pPr>
      <w:r>
        <w:rPr>
          <w:b/>
          <w:bCs/>
        </w:rPr>
        <w:t xml:space="preserve">Phase 3 target (2027–2028):</w:t>
      </w:r>
      <w:r>
        <w:t xml:space="preserve"> </w:t>
      </w:r>
      <w:r>
        <w:t xml:space="preserve">USD 200,000–250,000 for 500 schools, 20 languages, and regional expansion into Kenya, Tanzania, and Rwanda.</w:t>
      </w:r>
    </w:p>
    <w:bookmarkEnd w:id="16"/>
    <w:bookmarkStart w:id="17" w:name="timeline"/>
    <w:p>
      <w:pPr>
        <w:pStyle w:val="Heading1"/>
      </w:pPr>
      <w:r>
        <w:t xml:space="preserve">Timeline</w:t>
      </w:r>
    </w:p>
    <w:tbl>
      <w:tblPr>
        <w:tblStyle w:val="Table"/>
        <w:tblW w:type="pct" w:w="5000"/>
        <w:tblLayout w:type="fixed"/>
        <w:tblLook w:firstRow="1" w:lastRow="0" w:firstColumn="0" w:lastColumn="0" w:noHBand="0" w:noVBand="0" w:val="0020"/>
      </w:tblPr>
      <w:tblGrid>
        <w:gridCol w:w="1540"/>
        <w:gridCol w:w="1760"/>
        <w:gridCol w:w="3300"/>
        <w:gridCol w:w="1320"/>
      </w:tblGrid>
      <w:tr>
        <w:trPr>
          <w:tblHeader w:val="on"/>
        </w:trPr>
        <w:tc>
          <w:tcPr/>
          <w:p>
            <w:pPr>
              <w:pStyle w:val="Compact"/>
            </w:pPr>
            <w:r>
              <w:t xml:space="preserve">Phase</w:t>
            </w:r>
          </w:p>
        </w:tc>
        <w:tc>
          <w:tcPr/>
          <w:p>
            <w:pPr>
              <w:pStyle w:val="Compact"/>
            </w:pPr>
            <w:r>
              <w:t xml:space="preserve">Period</w:t>
            </w:r>
          </w:p>
        </w:tc>
        <w:tc>
          <w:tcPr/>
          <w:p>
            <w:pPr>
              <w:pStyle w:val="Compact"/>
            </w:pPr>
            <w:r>
              <w:t xml:space="preserve">Key Activities</w:t>
            </w:r>
          </w:p>
        </w:tc>
        <w:tc>
          <w:tcPr/>
          <w:p>
            <w:pPr>
              <w:pStyle w:val="Compact"/>
            </w:pPr>
            <w:r>
              <w:t xml:space="preserve">Cost</w:t>
            </w:r>
          </w:p>
        </w:tc>
      </w:tr>
      <w:tr>
        <w:tc>
          <w:tcPr/>
          <w:p>
            <w:pPr>
              <w:pStyle w:val="Compact"/>
            </w:pPr>
            <w:r>
              <w:t xml:space="preserve">Phase 0</w:t>
            </w:r>
          </w:p>
        </w:tc>
        <w:tc>
          <w:tcPr/>
          <w:p>
            <w:pPr>
              <w:pStyle w:val="Compact"/>
            </w:pPr>
            <w:r>
              <w:t xml:space="preserve">May–June 2026</w:t>
            </w:r>
          </w:p>
        </w:tc>
        <w:tc>
          <w:tcPr/>
          <w:p>
            <w:pPr>
              <w:pStyle w:val="Compact"/>
            </w:pPr>
            <w:r>
              <w:t xml:space="preserve">Word pack development, first Phonic Unit build, teacher briefing</w:t>
            </w:r>
          </w:p>
        </w:tc>
        <w:tc>
          <w:tcPr/>
          <w:p>
            <w:pPr>
              <w:pStyle w:val="Compact"/>
            </w:pPr>
            <w:r>
              <w:t xml:space="preserve">UGX 1.2–1.5M</w:t>
            </w:r>
          </w:p>
        </w:tc>
      </w:tr>
      <w:tr>
        <w:tc>
          <w:tcPr/>
          <w:p>
            <w:pPr>
              <w:pStyle w:val="Compact"/>
            </w:pPr>
            <w:r>
              <w:t xml:space="preserve">Phase 1</w:t>
            </w:r>
          </w:p>
        </w:tc>
        <w:tc>
          <w:tcPr/>
          <w:p>
            <w:pPr>
              <w:pStyle w:val="Compact"/>
            </w:pPr>
            <w:r>
              <w:t xml:space="preserve">June 2026</w:t>
            </w:r>
          </w:p>
        </w:tc>
        <w:tc>
          <w:tcPr/>
          <w:p>
            <w:pPr>
              <w:pStyle w:val="Compact"/>
            </w:pPr>
            <w:r>
              <w:t xml:space="preserve">Single school deployment, videography, data export, Place of Grace pilot</w:t>
            </w:r>
          </w:p>
        </w:tc>
        <w:tc>
          <w:tcPr/>
          <w:p>
            <w:pPr>
              <w:pStyle w:val="Compact"/>
            </w:pPr>
            <w:r>
              <w:t xml:space="preserve">Included above</w:t>
            </w:r>
          </w:p>
        </w:tc>
      </w:tr>
      <w:tr>
        <w:tc>
          <w:tcPr/>
          <w:p>
            <w:pPr>
              <w:pStyle w:val="Compact"/>
            </w:pPr>
            <w:r>
              <w:t xml:space="preserve">Phase 1.5</w:t>
            </w:r>
          </w:p>
        </w:tc>
        <w:tc>
          <w:tcPr/>
          <w:p>
            <w:pPr>
              <w:pStyle w:val="Compact"/>
            </w:pPr>
            <w:r>
              <w:t xml:space="preserve">July 2026</w:t>
            </w:r>
          </w:p>
        </w:tc>
        <w:tc>
          <w:tcPr/>
          <w:p>
            <w:pPr>
              <w:pStyle w:val="Compact"/>
            </w:pPr>
            <w:r>
              <w:t xml:space="preserve">Edit footage, write funder proposals</w:t>
            </w:r>
          </w:p>
        </w:tc>
        <w:tc>
          <w:tcPr/>
          <w:p>
            <w:pPr>
              <w:pStyle w:val="Compact"/>
            </w:pPr>
            <w:r>
              <w:t xml:space="preserve">Minimal</w:t>
            </w:r>
          </w:p>
        </w:tc>
      </w:tr>
      <w:tr>
        <w:tc>
          <w:tcPr/>
          <w:p>
            <w:pPr>
              <w:pStyle w:val="Compact"/>
            </w:pPr>
            <w:r>
              <w:t xml:space="preserve">Phase 2</w:t>
            </w:r>
          </w:p>
        </w:tc>
        <w:tc>
          <w:tcPr/>
          <w:p>
            <w:pPr>
              <w:pStyle w:val="Compact"/>
            </w:pPr>
            <w:r>
              <w:t xml:space="preserve">Aug 2026–Aug 2027</w:t>
            </w:r>
          </w:p>
        </w:tc>
        <w:tc>
          <w:tcPr/>
          <w:p>
            <w:pPr>
              <w:pStyle w:val="Compact"/>
            </w:pPr>
            <w:r>
              <w:t xml:space="preserve">6 units, 4 languages, 100 schools, one community</w:t>
            </w:r>
          </w:p>
        </w:tc>
        <w:tc>
          <w:tcPr/>
          <w:p>
            <w:pPr>
              <w:pStyle w:val="Compact"/>
            </w:pPr>
            <w:r>
              <w:t xml:space="preserve">USD 50,000–70,000</w:t>
            </w:r>
          </w:p>
        </w:tc>
      </w:tr>
      <w:tr>
        <w:tc>
          <w:tcPr/>
          <w:p>
            <w:pPr>
              <w:pStyle w:val="Compact"/>
            </w:pPr>
            <w:r>
              <w:t xml:space="preserve">Phase 3</w:t>
            </w:r>
          </w:p>
        </w:tc>
        <w:tc>
          <w:tcPr/>
          <w:p>
            <w:pPr>
              <w:pStyle w:val="Compact"/>
            </w:pPr>
            <w:r>
              <w:t xml:space="preserve">2027–2028</w:t>
            </w:r>
          </w:p>
        </w:tc>
        <w:tc>
          <w:tcPr/>
          <w:p>
            <w:pPr>
              <w:pStyle w:val="Compact"/>
            </w:pPr>
            <w:r>
              <w:t xml:space="preserve">500 schools, 20 languages, 50 units, regional expansion</w:t>
            </w:r>
          </w:p>
        </w:tc>
        <w:tc>
          <w:tcPr/>
          <w:p>
            <w:pPr>
              <w:pStyle w:val="Compact"/>
            </w:pPr>
            <w:r>
              <w:t xml:space="preserve">USD 200,000–250,000</w:t>
            </w:r>
          </w:p>
        </w:tc>
      </w:tr>
    </w:tbl>
    <w:bookmarkEnd w:id="17"/>
    <w:bookmarkStart w:id="18" w:name="measuring-impact"/>
    <w:p>
      <w:pPr>
        <w:pStyle w:val="Heading1"/>
      </w:pPr>
      <w:r>
        <w:t xml:space="preserve">Measuring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Phase 1 (Pilot)</w:t>
            </w:r>
          </w:p>
        </w:tc>
        <w:tc>
          <w:tcPr/>
          <w:p>
            <w:pPr>
              <w:pStyle w:val="Compact"/>
            </w:pPr>
            <w:r>
              <w:t xml:space="preserve">Phase 2 (Year 1)</w:t>
            </w:r>
          </w:p>
        </w:tc>
      </w:tr>
      <w:tr>
        <w:tc>
          <w:tcPr/>
          <w:p>
            <w:pPr>
              <w:pStyle w:val="Compact"/>
            </w:pPr>
            <w:r>
              <w:t xml:space="preserve">Children reached</w:t>
            </w:r>
          </w:p>
        </w:tc>
        <w:tc>
          <w:tcPr/>
          <w:p>
            <w:pPr>
              <w:pStyle w:val="Compact"/>
            </w:pPr>
            <w:r>
              <w:t xml:space="preserve">40</w:t>
            </w:r>
          </w:p>
        </w:tc>
        <w:tc>
          <w:tcPr/>
          <w:p>
            <w:pPr>
              <w:pStyle w:val="Compact"/>
            </w:pPr>
            <w:r>
              <w:t xml:space="preserve">4,000+</w:t>
            </w:r>
          </w:p>
        </w:tc>
      </w:tr>
      <w:tr>
        <w:tc>
          <w:tcPr/>
          <w:p>
            <w:pPr>
              <w:pStyle w:val="Compact"/>
            </w:pPr>
            <w:r>
              <w:t xml:space="preserve">English pronunciation assessments</w:t>
            </w:r>
          </w:p>
        </w:tc>
        <w:tc>
          <w:tcPr/>
          <w:p>
            <w:pPr>
              <w:pStyle w:val="Compact"/>
            </w:pPr>
            <w:r>
              <w:t xml:space="preserve">200–400</w:t>
            </w:r>
          </w:p>
        </w:tc>
        <w:tc>
          <w:tcPr/>
          <w:p>
            <w:pPr>
              <w:pStyle w:val="Compact"/>
            </w:pPr>
            <w:r>
              <w:t xml:space="preserve">40,000+</w:t>
            </w:r>
          </w:p>
        </w:tc>
      </w:tr>
      <w:tr>
        <w:tc>
          <w:tcPr/>
          <w:p>
            <w:pPr>
              <w:pStyle w:val="Compact"/>
            </w:pPr>
            <w:r>
              <w:t xml:space="preserve">Verified local-language recordings</w:t>
            </w:r>
          </w:p>
        </w:tc>
        <w:tc>
          <w:tcPr/>
          <w:p>
            <w:pPr>
              <w:pStyle w:val="Compact"/>
            </w:pPr>
            <w:r>
              <w:t xml:space="preserve">150–300</w:t>
            </w:r>
          </w:p>
        </w:tc>
        <w:tc>
          <w:tcPr/>
          <w:p>
            <w:pPr>
              <w:pStyle w:val="Compact"/>
            </w:pPr>
            <w:r>
              <w:t xml:space="preserve">20,000+</w:t>
            </w:r>
          </w:p>
        </w:tc>
      </w:tr>
      <w:tr>
        <w:tc>
          <w:tcPr/>
          <w:p>
            <w:pPr>
              <w:pStyle w:val="Compact"/>
            </w:pPr>
            <w:r>
              <w:t xml:space="preserve">Languages with active word packs</w:t>
            </w:r>
          </w:p>
        </w:tc>
        <w:tc>
          <w:tcPr/>
          <w:p>
            <w:pPr>
              <w:pStyle w:val="Compact"/>
            </w:pPr>
            <w:r>
              <w:t xml:space="preserve">1 (Lusoga)</w:t>
            </w:r>
          </w:p>
        </w:tc>
        <w:tc>
          <w:tcPr/>
          <w:p>
            <w:pPr>
              <w:pStyle w:val="Compact"/>
            </w:pPr>
            <w:r>
              <w:t xml:space="preserve">4</w:t>
            </w:r>
          </w:p>
        </w:tc>
      </w:tr>
      <w:tr>
        <w:tc>
          <w:tcPr/>
          <w:p>
            <w:pPr>
              <w:pStyle w:val="Compact"/>
            </w:pPr>
            <w:r>
              <w:t xml:space="preserve">Deployed Phonic Units</w:t>
            </w:r>
          </w:p>
        </w:tc>
        <w:tc>
          <w:tcPr/>
          <w:p>
            <w:pPr>
              <w:pStyle w:val="Compact"/>
            </w:pPr>
            <w:r>
              <w:t xml:space="preserve">1</w:t>
            </w:r>
          </w:p>
        </w:tc>
        <w:tc>
          <w:tcPr/>
          <w:p>
            <w:pPr>
              <w:pStyle w:val="Compact"/>
            </w:pPr>
            <w:r>
              <w:t xml:space="preserve">6</w:t>
            </w:r>
          </w:p>
        </w:tc>
      </w:tr>
      <w:tr>
        <w:tc>
          <w:tcPr/>
          <w:p>
            <w:pPr>
              <w:pStyle w:val="Compact"/>
            </w:pPr>
            <w:r>
              <w:t xml:space="preserve">Community-owned data archives</w:t>
            </w:r>
          </w:p>
        </w:tc>
        <w:tc>
          <w:tcPr/>
          <w:p>
            <w:pPr>
              <w:pStyle w:val="Compact"/>
            </w:pPr>
            <w:r>
              <w:t xml:space="preserve">0</w:t>
            </w:r>
          </w:p>
        </w:tc>
        <w:tc>
          <w:tcPr/>
          <w:p>
            <w:pPr>
              <w:pStyle w:val="Compact"/>
            </w:pPr>
            <w:r>
              <w:t xml:space="preserve">1 (Place of Grace)</w:t>
            </w:r>
          </w:p>
        </w:tc>
      </w:tr>
      <w:tr>
        <w:tc>
          <w:tcPr/>
          <w:p>
            <w:pPr>
              <w:pStyle w:val="Compact"/>
            </w:pPr>
            <w:r>
              <w:t xml:space="preserve">Languages with sufficient data for baseline TTS prototype</w:t>
            </w:r>
          </w:p>
        </w:tc>
        <w:tc>
          <w:tcPr/>
          <w:p>
            <w:pPr>
              <w:pStyle w:val="Compact"/>
            </w:pPr>
            <w:r>
              <w:t xml:space="preserve">0</w:t>
            </w:r>
          </w:p>
        </w:tc>
        <w:tc>
          <w:tcPr/>
          <w:p>
            <w:pPr>
              <w:pStyle w:val="Compact"/>
            </w:pPr>
            <w:r>
              <w:t xml:space="preserve">2</w:t>
            </w:r>
          </w:p>
        </w:tc>
      </w:tr>
    </w:tbl>
    <w:bookmarkEnd w:id="18"/>
    <w:bookmarkStart w:id="19" w:name="why-now"/>
    <w:p>
      <w:pPr>
        <w:pStyle w:val="Heading1"/>
      </w:pPr>
      <w:r>
        <w:t xml:space="preserve">Why Now</w:t>
      </w:r>
    </w:p>
    <w:p>
      <w:pPr>
        <w:pStyle w:val="FirstParagraph"/>
      </w:pPr>
      <w:r>
        <w:t xml:space="preserve">The policy window is open. Uganda’s Ministry of Education has placed renewed emphasis on local-language instruction at primary level. The Ministry of ICT is developing a national AI strategy and has signalled interest in locally relevant datasets. Regionally, the African Union’s Digital Transformation Strategy calls for African-language digital inclusion.</w:t>
      </w:r>
    </w:p>
    <w:p>
      <w:pPr>
        <w:pStyle w:val="BodyText"/>
      </w:pPr>
      <w:r>
        <w:t xml:space="preserve">The technology window is open. Offline AI inference on consumer hardware is now affordable and reliable. Speech recognition models can be trained on smaller datasets than ever before. The cost of a first prototype — a laptop, salvaged components, a solar panel, and a good videographer — is genuinely small relative to what it can unlock.</w:t>
      </w:r>
    </w:p>
    <w:p>
      <w:pPr>
        <w:pStyle w:val="BodyText"/>
      </w:pPr>
      <w:r>
        <w:t xml:space="preserve">And the human window is open. The grandparents who carry the most complete versions of Lusoga, Luganda, and Runyankore are still alive. The children who will inherit those languages are in school today. The gap between them is widening with every generation. A tool that brings them together — on a laptop, with a buzzer, for a game — can close it.</w:t>
      </w:r>
    </w:p>
    <w:bookmarkEnd w:id="19"/>
    <w:bookmarkStart w:id="20" w:name="the-team"/>
    <w:p>
      <w:pPr>
        <w:pStyle w:val="Heading1"/>
      </w:pPr>
      <w:r>
        <w:t xml:space="preserve">The Team</w:t>
      </w:r>
    </w:p>
    <w:p>
      <w:pPr>
        <w:pStyle w:val="FirstParagraph"/>
      </w:pPr>
      <w:r>
        <w:rPr>
          <w:b/>
          <w:bCs/>
        </w:rPr>
        <w:t xml:space="preserve">Timothy Okoth-Osillo</w:t>
      </w:r>
      <w:r>
        <w:t xml:space="preserve"> </w:t>
      </w:r>
      <w:r>
        <w:t xml:space="preserve">is a lawyer and Lead Counsel at Okoth-Osillo Advocates in Jinja, Uganda, and the founder of Kayuwawa Properties Ltd and LegiClaw, a legal practice management SaaS platform for East African law firms. He has built and deployed technology products for the Ugandan market, including an AI-powered property due diligence platform. He is the inventor of Phonic Pals and the designer of the Phonic Unit.</w:t>
      </w:r>
    </w:p>
    <w:p>
      <w:pPr>
        <w:pStyle w:val="BodyText"/>
      </w:pPr>
      <w:r>
        <w:rPr>
          <w:b/>
          <w:bCs/>
        </w:rPr>
        <w:t xml:space="preserve">Tech Reach Africa</w:t>
      </w:r>
      <w:r>
        <w:t xml:space="preserve">, led by Ntende Beka Isabirye, operates mobile computer labs serving twenty-one schools in underserved communities across Uganda. With three hundred and fifty teacher champions and a proven deployment model for off-grid locations, Tech Reach Africa is the field implementation partner for Phonic Pals.</w:t>
      </w:r>
    </w:p>
    <w:p>
      <w:pPr>
        <w:pStyle w:val="BodyText"/>
      </w:pPr>
      <w:r>
        <w:rPr>
          <w:b/>
          <w:bCs/>
        </w:rPr>
        <w:t xml:space="preserve">Place of Grace</w:t>
      </w:r>
      <w:r>
        <w:t xml:space="preserve">, led by Salvi [full name redacted by author], is a self-sustaining intentional community being established on family land in Busoga. It will serve as the community-based pilot site and proof-of-concept for the language-preservation and data-ownership model.</w:t>
      </w:r>
    </w:p>
    <w:bookmarkEnd w:id="20"/>
    <w:bookmarkStart w:id="21" w:name="contact"/>
    <w:p>
      <w:pPr>
        <w:pStyle w:val="Heading1"/>
      </w:pPr>
      <w:r>
        <w:t xml:space="preserve">Contact</w:t>
      </w:r>
    </w:p>
    <w:p>
      <w:pPr>
        <w:pStyle w:val="FirstParagraph"/>
      </w:pPr>
      <w:r>
        <w:t xml:space="preserve">Timothy Okoth-Osillo</w:t>
      </w:r>
      <w:r>
        <w:br/>
      </w:r>
      <w:r>
        <w:t xml:space="preserve">Lead Counsel, Okoth-Osillo Advocates</w:t>
      </w:r>
      <w:r>
        <w:br/>
      </w:r>
      <w:r>
        <w:t xml:space="preserve">Founder, Kayuwawa Properties Ltd</w:t>
      </w:r>
      <w:r>
        <w:br/>
      </w:r>
      <w:r>
        <w:t xml:space="preserve">Plot No. 7 Iganga Road, Jinja, Uganda</w:t>
      </w:r>
    </w:p>
    <w:p>
      <w:pPr>
        <w:pStyle w:val="BodyText"/>
      </w:pPr>
      <w:r>
        <w:rPr>
          <w:i/>
          <w:iCs/>
        </w:rPr>
        <w:t xml:space="preserve">In partnership with Tech Reach Africa and Place of Grace.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Phonic Pals: Bilingual Language Learning and Community-Owned Voice Data for Uganda</dc:title>
  <dc:creator>Kayuwawa Properties Ltd</dc:creator>
  <cp:keywords/>
  <dcterms:created xsi:type="dcterms:W3CDTF">2026-05-17T16:11:57Z</dcterms:created>
  <dcterms:modified xsi:type="dcterms:W3CDTF">2026-05-17T16:11:57Z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