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DC" w:rsidRPr="00CA41B9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ДОГОВІР № {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74CDC" w:rsidRPr="00CA41B9" w:rsidRDefault="00D5001B">
      <w:pPr>
        <w:shd w:val="clear" w:color="auto" w:fill="FFFFFF"/>
        <w:tabs>
          <w:tab w:val="left" w:pos="611"/>
          <w:tab w:val="left" w:pos="6239"/>
        </w:tabs>
        <w:ind w:lef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м.Львів</w:t>
      </w:r>
      <w:proofErr w:type="spellEnd"/>
      <w:r w:rsidRPr="00CA41B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r w:rsidRPr="00CA41B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 w:rsidRPr="00CA41B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F74CDC" w:rsidRDefault="00D5001B">
      <w:pPr>
        <w:shd w:val="clear" w:color="auto" w:fill="FFFFFF"/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CD5DEF">
        <w:rPr>
          <w:rFonts w:ascii="Times New Roman" w:eastAsia="Times New Roman" w:hAnsi="Times New Roman" w:cs="Times New Roman"/>
          <w:b/>
          <w:sz w:val="24"/>
          <w:szCs w:val="24"/>
        </w:rPr>
        <w:t>partner_id</w:t>
      </w:r>
      <w:proofErr w:type="spellEnd"/>
      <w:r w:rsidR="00CD5DE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, в особі {</w:t>
      </w:r>
      <w:r w:rsidRPr="00CA41B9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CA41B9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="00CD5DE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  <w:r w:rsidRPr="00CA41B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 ТзОВ ГЗГ "МІРНИЧИЙ" </w:t>
      </w:r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надалі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Виконавець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Євгена Олексійовича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другого боку, уклали даний Договір про наступне.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ДОГОВОРУ.</w:t>
      </w:r>
    </w:p>
    <w:p w:rsidR="00F74CDC" w:rsidRDefault="00D50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  Замовник замовляє, а Виконавець зобов’язується виконати: </w:t>
      </w:r>
    </w:p>
    <w:tbl>
      <w:tblPr>
        <w:tblStyle w:val="af7"/>
        <w:tblW w:w="935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D5001B" w:rsidTr="00D5001B">
        <w:tc>
          <w:tcPr>
            <w:tcW w:w="9351" w:type="dxa"/>
            <w:gridSpan w:val="4"/>
          </w:tcPr>
          <w:p w:rsidR="00D5001B" w:rsidRP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5001B" w:rsidTr="00D5001B">
        <w:tc>
          <w:tcPr>
            <w:tcW w:w="562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093" w:type="dxa"/>
          </w:tcPr>
          <w:p w:rsid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46" w:type="dxa"/>
            <w:shd w:val="clear" w:color="auto" w:fill="auto"/>
          </w:tcPr>
          <w:p w:rsidR="00D5001B" w:rsidRDefault="00D5001B" w:rsidP="0028203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5001B" w:rsidTr="00D5001B">
        <w:tc>
          <w:tcPr>
            <w:tcW w:w="9351" w:type="dxa"/>
            <w:gridSpan w:val="4"/>
          </w:tcPr>
          <w:p w:rsidR="00D5001B" w:rsidRPr="00A97AD1" w:rsidRDefault="00D5001B" w:rsidP="0028203B">
            <w:pPr>
              <w:spacing w:after="0" w:line="240" w:lineRule="auto"/>
              <w:rPr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F74CDC" w:rsidRDefault="00F74CD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Pr="00CA41B9" w:rsidRDefault="00D500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об’єкту: 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x_object_address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(надалі – Предмет Договору).</w:t>
      </w:r>
    </w:p>
    <w:p w:rsidR="00F74CDC" w:rsidRDefault="00D500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sz w:val="24"/>
          <w:szCs w:val="24"/>
        </w:rPr>
        <w:t>Вартість роботи є договірною і складає відповідно до п.3.1.</w:t>
      </w:r>
    </w:p>
    <w:p w:rsidR="00F74CDC" w:rsidRDefault="00F74CDC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left="993"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ЗАМОВНИК ЗОБОВ'ЯЗУЄТЬСЯ.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Виконавцю в триденний термін з дня підписання Договору документи для проведення геодезичних, геологічних, гідрологічних робіт, а саме: Додаток-Заявку, технічне завдання на виконання робіт (план земельної ділянки, кадастровий план, каталог координат, схеми, ПОБ, Генеральний план, тощо). При затримці передачі зазначених документів, строк виконання робіт з інженерно-геодезичних робіт, вказаний в п. 1.1. Договору, переноситься на час затримки..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Сприяти проведенню Виконавцем необхідних робіт безпосередньо на будівельному майданчику.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робочі файли виконавцю в форматі .DWG.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993" w:hanging="42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Прийняти проведені роботи: </w:t>
      </w:r>
      <w:r>
        <w:rPr>
          <w:rFonts w:ascii="Times New Roman" w:eastAsia="Times New Roman" w:hAnsi="Times New Roman" w:cs="Times New Roman"/>
          <w:b/>
          <w:color w:val="000000"/>
        </w:rPr>
        <w:t>інженерно-гідрологічні, інженерно-геодезичні роботи</w:t>
      </w:r>
      <w:r>
        <w:rPr>
          <w:rFonts w:ascii="Times New Roman" w:eastAsia="Times New Roman" w:hAnsi="Times New Roman" w:cs="Times New Roman"/>
          <w:color w:val="000000"/>
        </w:rPr>
        <w:t xml:space="preserve"> по Акту виконаних робіт.</w:t>
      </w:r>
    </w:p>
    <w:p w:rsidR="00F74CDC" w:rsidRDefault="00F74CDC">
      <w:pPr>
        <w:widowControl w:val="0"/>
        <w:shd w:val="clear" w:color="auto" w:fill="FFFFFF"/>
        <w:tabs>
          <w:tab w:val="left" w:pos="907"/>
        </w:tabs>
        <w:spacing w:after="0"/>
        <w:ind w:left="993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left="9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 ПОРЯДОК РОЗРАХУНКІВ</w:t>
      </w:r>
    </w:p>
    <w:p w:rsidR="00F74CDC" w:rsidRPr="00CA41B9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 Загальна вартість роботи є договірною і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складає 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biko_amount_ukr_text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без ПДВ.</w:t>
      </w:r>
    </w:p>
    <w:p w:rsidR="00F74CDC" w:rsidRPr="00CA41B9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CA41B9">
        <w:rPr>
          <w:rFonts w:ascii="Times New Roman" w:eastAsia="Times New Roman" w:hAnsi="Times New Roman" w:cs="Times New Roman"/>
          <w:sz w:val="23"/>
          <w:szCs w:val="23"/>
        </w:rPr>
        <w:t xml:space="preserve">3.2 </w:t>
      </w:r>
      <w:r w:rsidRPr="00CA41B9">
        <w:rPr>
          <w:rFonts w:ascii="Times New Roman" w:eastAsia="Times New Roman" w:hAnsi="Times New Roman" w:cs="Times New Roman"/>
          <w:b/>
          <w:i/>
          <w:sz w:val="23"/>
          <w:szCs w:val="23"/>
        </w:rPr>
        <w:t>Замовник</w:t>
      </w:r>
      <w:r w:rsidRPr="00CA41B9">
        <w:rPr>
          <w:rFonts w:ascii="Times New Roman" w:eastAsia="Times New Roman" w:hAnsi="Times New Roman" w:cs="Times New Roman"/>
          <w:sz w:val="23"/>
          <w:szCs w:val="23"/>
        </w:rPr>
        <w:t xml:space="preserve"> перед виконанням роботи здійснює авансові платежі в розмірі {{</w:t>
      </w:r>
      <w:proofErr w:type="spellStart"/>
      <w:r w:rsidRPr="00CA41B9">
        <w:rPr>
          <w:rFonts w:ascii="Times New Roman" w:eastAsia="Times New Roman" w:hAnsi="Times New Roman" w:cs="Times New Roman"/>
          <w:sz w:val="23"/>
          <w:szCs w:val="23"/>
        </w:rPr>
        <w:t>x_advance</w:t>
      </w:r>
      <w:proofErr w:type="spellEnd"/>
      <w:r w:rsidRPr="00CA41B9">
        <w:rPr>
          <w:rFonts w:ascii="Times New Roman" w:eastAsia="Times New Roman" w:hAnsi="Times New Roman" w:cs="Times New Roman"/>
          <w:sz w:val="23"/>
          <w:szCs w:val="23"/>
        </w:rPr>
        <w:t xml:space="preserve">}}% від вартості  Робіт визначеної п.3.1. цього Договору, шляхом перерахування грошових коштів на розрахунковий рахунок </w:t>
      </w:r>
      <w:r w:rsidRPr="00CA41B9">
        <w:rPr>
          <w:rFonts w:ascii="Times New Roman" w:eastAsia="Times New Roman" w:hAnsi="Times New Roman" w:cs="Times New Roman"/>
          <w:b/>
          <w:i/>
          <w:sz w:val="23"/>
          <w:szCs w:val="23"/>
        </w:rPr>
        <w:t>Виконавця</w:t>
      </w:r>
      <w:r w:rsidRPr="00CA41B9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CA41B9">
        <w:rPr>
          <w:rFonts w:ascii="Times New Roman" w:eastAsia="Times New Roman" w:hAnsi="Times New Roman" w:cs="Times New Roman"/>
          <w:sz w:val="23"/>
          <w:szCs w:val="23"/>
        </w:rPr>
        <w:t>3.3. Другий платіж в розмірі {{</w:t>
      </w:r>
      <w:proofErr w:type="spellStart"/>
      <w:r w:rsidRPr="00CA41B9">
        <w:rPr>
          <w:rFonts w:ascii="Times New Roman" w:eastAsia="Times New Roman" w:hAnsi="Times New Roman" w:cs="Times New Roman"/>
          <w:sz w:val="23"/>
          <w:szCs w:val="23"/>
        </w:rPr>
        <w:t>remainder</w:t>
      </w:r>
      <w:proofErr w:type="spellEnd"/>
      <w:r w:rsidRPr="00CA41B9">
        <w:rPr>
          <w:rFonts w:ascii="Times New Roman" w:eastAsia="Times New Roman" w:hAnsi="Times New Roman" w:cs="Times New Roman"/>
          <w:sz w:val="23"/>
          <w:szCs w:val="23"/>
        </w:rPr>
        <w:t>}}% від загальної суми Договору, в триденний термін після підписання акту виконаних робіт.</w:t>
      </w:r>
    </w:p>
    <w:p w:rsidR="00F74CDC" w:rsidRDefault="00F74CDC">
      <w:pPr>
        <w:widowControl w:val="0"/>
        <w:shd w:val="clear" w:color="auto" w:fill="FFFFFF"/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ВИКОНАВЕЦЬ ЗОБОВ'ЯЗУЄТЬСЯ.</w:t>
      </w:r>
    </w:p>
    <w:p w:rsidR="00F74CDC" w:rsidRPr="00CA41B9" w:rsidRDefault="00D5001B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4.1. Виконати роботи у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термін 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x_term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CA41B9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робочих</w:t>
      </w:r>
      <w:r w:rsidRPr="00CA41B9">
        <w:rPr>
          <w:rFonts w:ascii="Times New Roman" w:eastAsia="Times New Roman" w:hAnsi="Times New Roman" w:cs="Times New Roman"/>
          <w:color w:val="000000"/>
        </w:rPr>
        <w:t xml:space="preserve">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днів, від дати початку польових робіт. Виконавець зобов’язується приступити до польових робіт протягом 5 робочих днів від дати авансового платежу.</w:t>
      </w:r>
    </w:p>
    <w:p w:rsidR="00F74CDC" w:rsidRPr="00CA41B9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sz w:val="24"/>
          <w:szCs w:val="24"/>
        </w:rPr>
        <w:t>4.2. Забезпечити якість відповідно до вимог державних стандартів та інших нормативних актів та вимог, що звичайно ставляться до таких робіт.</w:t>
      </w:r>
    </w:p>
    <w:p w:rsidR="00F74CDC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4.3. Передати виконані 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 роботи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 на будівельному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майданчику Замовнику по Акту приймання-передачі.</w:t>
      </w:r>
    </w:p>
    <w:p w:rsidR="00F74CDC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 Не розголошувати інформацію будь-якого змісту щодо Замовника та Предмету цього Договору.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ЗАМОВНИК МАЄ ПРАВО.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 Вносити зміни і доповнення до замовлення з відповідним уточненням вартості робіт.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5.2. Знайомитись з ходом виконання замовлення. 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 Отримувати у Виконавця консультації щодо змісту та виконання робіт на земельній ділянці. 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ВИКОНАВЕЦЬ МАЄ ПРАВО.</w:t>
      </w:r>
    </w:p>
    <w:p w:rsidR="00F74CDC" w:rsidRDefault="00D5001B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Отримувати від Замовника пояснення щодо змісту виконаних робіт та переданих документів.</w:t>
      </w:r>
    </w:p>
    <w:p w:rsidR="00F74CDC" w:rsidRDefault="00D5001B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Вносити Замовнику обґрунтовані пропозиції про розширення об'єму належних до виконання робіт.</w:t>
      </w:r>
    </w:p>
    <w:p w:rsidR="00F74CDC" w:rsidRDefault="00F74CDC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ПОРЯДОК ВИГОТОВЛЕННЯ ТА ПЕРЕДАЧІ ДОКУМЕНТАЦІЇ.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 Виконавець приступає до підготовки та виконання інженерно-геологічних робіт, після отримання від Замовника передбачених договором документів та оплати вартості робіт.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 Виконані роботи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}} роботи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 xml:space="preserve"> Виконавець передає Замовнику по Акту виконаних робіт в термін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ередбачений п. 4.1.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 Замовник зобов'язаний протягом трьох днів з дня отримання Акту підписати його та повернути Виконавцю, або надіслати обґрунтовану відмову від прийняття і свої пропозиції.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7.4. При отриманні обґрунтованої відмови Виконавець разом з Замовником в триденний термін складає двосторонній Акт з переліком недоліків необхідних пропозицій та строків їх виконання.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7.5. При неотриманні від Замовника протягом 15 днів підписаного ним Акту або обґрунтованої відмови, Акт вважається прийнятим.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7.6. В разі зупинення або часткового виконання робіт, на письмову вказівку Замовника, Сторони зобов’язані в п’ятиденний строк скласти Акт про виконану частину роботи та її вартість. Даний Акт є підставою для повернення Виконавцем частини отриманих коштів.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7.7. У випадку виявлення Замовником недоліків в документації протягом одного місяця з дня підписання Акту приймання-передачі виконаних робіт. Виконавець зобов'язується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усунути виявлені недоліки протягом десяти днів з дня отримання письмового повідомлення Замовника.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ВІДПОВІДАЛЬНІСТЬ СТОРІН.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За неналежне виконання зобов'язань, Виконавець сплачує Замовнику штраф у розмірі 1% від загальної суми Договору, за кожний день прострочення.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За несвоєчасну оплату виконаних робіт Замовник сплачує Виконавцю штраф у розмірі 1% від неоплаченої суми за кожний день прострочення.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8.3. Сторони цього Договору звільняються від відповідальності у випадку настання та дії форс-мажорних обставин, або таких, які знаходяться поза межами контролю Сторін. Факт дії форс-мажорних обставин підтверджується Торгово-Промисловою Палатою України.</w:t>
      </w:r>
    </w:p>
    <w:p w:rsidR="00F74CDC" w:rsidRDefault="00F74CDC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ПРИКІНЦЕВІ ПОЛОЖЕННЯ.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 Цей Договір набирає чинності з дня його підписання обома Сторонами і діє до виконання ними своїх зобов'язань.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 Зміни і доповнення до Договору вносяться по взаємній згоді Сторін і оформляються додатковою угодою.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 Спори щодо Договору вирішуються шляхом переговорів, а при недосягненні згоди – у встановленому законодавством порядку.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9.4. У разі невиконання або неналежного виконання однією із Сторін зазначених обов'язків, інша сторона має право поставити питання про розірвання Договору у порядку, встановленому чинним законодавством.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9.5. Питання, не врегульовані цим договором, вирішуються згідно з чинним законодавством.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9.6. Даний Договір складений у двох примірниках по одному примірнику для кожної Сторони. Причому обидва примірники мають однакову  юридичну силу.</w:t>
      </w:r>
    </w:p>
    <w:p w:rsidR="00F74CDC" w:rsidRDefault="00F74CDC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ЮРИДИЧНІ РЕКВІЗИТИ СТОРІН.</w:t>
      </w:r>
    </w:p>
    <w:p w:rsidR="00F74CDC" w:rsidRDefault="00F74CDC"/>
    <w:tbl>
      <w:tblPr>
        <w:tblStyle w:val="af8"/>
        <w:tblW w:w="14441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  <w:gridCol w:w="4814"/>
      </w:tblGrid>
      <w:tr w:rsidR="00F74CDC">
        <w:tc>
          <w:tcPr>
            <w:tcW w:w="4814" w:type="dxa"/>
          </w:tcPr>
          <w:p w:rsidR="00F74CDC" w:rsidRDefault="00F74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tbl>
            <w:tblPr>
              <w:tblStyle w:val="af9"/>
              <w:tblW w:w="1048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84"/>
            </w:tblGrid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"ВИКОНАВЕЦЬ"</w:t>
                  </w:r>
                </w:p>
                <w:p w:rsidR="00F74CDC" w:rsidRDefault="00F74CDC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ТзОВ ГЗГ "МІРНИЧИЙ"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Місцезнаходження: 79015, Львівська обл., м. Львів, пр.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Чорновола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будинок 16е / кв.3, Україна, 79019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ЄДРПОУ 36610302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IBAN UA313209840000026001210416191</w:t>
                  </w:r>
                </w:p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АТ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ПроКредит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Банк»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МФО 320984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тел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/факс: +380 67 208 8520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8741D4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noProof/>
                      <w:lang w:val="ru-RU" w:eastAsia="ru-RU"/>
                    </w:rPr>
                    <w:lastRenderedPageBreak/>
                    <w:drawing>
                      <wp:anchor distT="0" distB="0" distL="114300" distR="114300" simplePos="0" relativeHeight="251659264" behindDoc="0" locked="0" layoutInCell="1" hidden="0" allowOverlap="1" wp14:anchorId="0955E3EF" wp14:editId="3F15EB91">
                        <wp:simplePos x="0" y="0"/>
                        <wp:positionH relativeFrom="column">
                          <wp:posOffset>-40005</wp:posOffset>
                        </wp:positionH>
                        <wp:positionV relativeFrom="paragraph">
                          <wp:posOffset>-599555</wp:posOffset>
                        </wp:positionV>
                        <wp:extent cx="1729105" cy="1729105"/>
                        <wp:effectExtent l="0" t="0" r="0" b="0"/>
                        <wp:wrapNone/>
                        <wp:docPr id="3" name="image1.png" descr="C:\Users\МІРНИЧИЙ\Desktop\Підписи, печатки без фону\Печатка і підпис без фону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C:\Users\МІРНИЧИЙ\Desktop\Підписи, печатки без фону\Печатка і підпис без фону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9105" cy="172910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М.П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Лаврішко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Є.О.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                        </w:t>
                  </w:r>
                </w:p>
              </w:tc>
            </w:tr>
          </w:tbl>
          <w:p w:rsidR="00F74CDC" w:rsidRDefault="00F74CDC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814" w:type="dxa"/>
          </w:tcPr>
          <w:p w:rsidR="00F74CDC" w:rsidRDefault="00D500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lastRenderedPageBreak/>
              <w:t>"ЗАМОВНИК"</w:t>
            </w:r>
          </w:p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74CDC" w:rsidRDefault="00D5001B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4814" w:type="dxa"/>
          </w:tcPr>
          <w:p w:rsidR="00F74CDC" w:rsidRDefault="00F74CDC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F74CDC" w:rsidRDefault="00F74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Pr="00D5001B" w:rsidRDefault="00D5001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Додаток №1                                                                              до договору № {{</w:t>
      </w:r>
      <w:proofErr w:type="spellStart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x_contract_number</w:t>
      </w:r>
      <w:proofErr w:type="spellEnd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}} від {{</w:t>
      </w:r>
      <w:proofErr w:type="spellStart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}}</w:t>
      </w:r>
      <w:r w:rsidRPr="00D500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F74CDC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:rsidR="00F74CDC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погодження договірної ціни на виконання робіт</w:t>
      </w:r>
    </w:p>
    <w:p w:rsidR="00F74CDC" w:rsidRDefault="00F74C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4CDC" w:rsidRDefault="00D5001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partner_id_name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CA41B9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, в особі {{</w:t>
      </w:r>
      <w:proofErr w:type="spellStart"/>
      <w:r w:rsidRPr="00CA41B9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Pr="00CA41B9">
        <w:rPr>
          <w:rFonts w:ascii="Times New Roman" w:eastAsia="Times New Roman" w:hAnsi="Times New Roman" w:cs="Times New Roman"/>
          <w:sz w:val="24"/>
          <w:szCs w:val="24"/>
        </w:rPr>
        <w:t>}} та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 ТзОВ ГЗГ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"МІРНИЧИЙ"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надалі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Виконавець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Євгена Олексійовича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другого боку,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засвідчують, що сторонами досягнуто згоди про розмір договірної ціни, на надання послуг:</w:t>
      </w:r>
    </w:p>
    <w:tbl>
      <w:tblPr>
        <w:tblStyle w:val="af7"/>
        <w:tblW w:w="935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D5001B" w:rsidTr="0028203B">
        <w:tc>
          <w:tcPr>
            <w:tcW w:w="9351" w:type="dxa"/>
            <w:gridSpan w:val="4"/>
          </w:tcPr>
          <w:p w:rsidR="00D5001B" w:rsidRP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5001B" w:rsidTr="0028203B">
        <w:tc>
          <w:tcPr>
            <w:tcW w:w="562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093" w:type="dxa"/>
          </w:tcPr>
          <w:p w:rsid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46" w:type="dxa"/>
            <w:shd w:val="clear" w:color="auto" w:fill="auto"/>
          </w:tcPr>
          <w:p w:rsidR="00D5001B" w:rsidRDefault="00D5001B" w:rsidP="0028203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5001B" w:rsidTr="0028203B">
        <w:tc>
          <w:tcPr>
            <w:tcW w:w="9351" w:type="dxa"/>
            <w:gridSpan w:val="4"/>
          </w:tcPr>
          <w:p w:rsidR="00D5001B" w:rsidRPr="00A97AD1" w:rsidRDefault="00D5001B" w:rsidP="0028203B">
            <w:pPr>
              <w:spacing w:after="0" w:line="240" w:lineRule="auto"/>
              <w:rPr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D5001B" w:rsidRDefault="00D500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30j0zll" w:colFirst="0" w:colLast="0"/>
      <w:bookmarkEnd w:id="1"/>
    </w:p>
    <w:p w:rsidR="00F74CDC" w:rsidRDefault="00D5001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договірна ціна  становить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>biko_amount_ukr_text</w:t>
      </w:r>
      <w:proofErr w:type="spellEnd"/>
      <w:r w:rsidRPr="00CA41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CA41B9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CA41B9">
        <w:rPr>
          <w:rFonts w:ascii="Times New Roman" w:eastAsia="Times New Roman" w:hAnsi="Times New Roman" w:cs="Times New Roman"/>
          <w:sz w:val="24"/>
          <w:szCs w:val="24"/>
        </w:rPr>
        <w:t>без ПДВ.</w:t>
      </w:r>
    </w:p>
    <w:p w:rsidR="00F74CDC" w:rsidRDefault="00D5001B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Цей Протокол є підставою для взаємних розрахунків між виконавцем та замовником.</w:t>
      </w:r>
    </w:p>
    <w:p w:rsidR="00F74CDC" w:rsidRDefault="00F74CDC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F74CDC">
        <w:trPr>
          <w:trHeight w:val="3135"/>
        </w:trPr>
        <w:tc>
          <w:tcPr>
            <w:tcW w:w="4814" w:type="dxa"/>
          </w:tcPr>
          <w:p w:rsidR="00F74CDC" w:rsidRDefault="00F74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1048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84"/>
            </w:tblGrid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"ВИКОНАВЕЦЬ"</w:t>
                  </w:r>
                </w:p>
                <w:p w:rsidR="00F74CDC" w:rsidRDefault="00F74CDC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ТзОВ ГЗГ "МІРНИЧИЙ"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Місцезнаходження: 79015, Львівська обл., м. Львів, пр.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Чорновола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будинок 16е / кв.3, Україна, 79019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ЄДРПОУ 36610302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IBAN UA313209840000026001210416191</w:t>
                  </w:r>
                </w:p>
                <w:p w:rsidR="00F74CDC" w:rsidRDefault="008741D4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61312" behindDoc="0" locked="0" layoutInCell="1" hidden="0" allowOverlap="1" wp14:anchorId="375145C6" wp14:editId="43EE7BCB">
                        <wp:simplePos x="0" y="0"/>
                        <wp:positionH relativeFrom="column">
                          <wp:posOffset>-40005</wp:posOffset>
                        </wp:positionH>
                        <wp:positionV relativeFrom="paragraph">
                          <wp:posOffset>158750</wp:posOffset>
                        </wp:positionV>
                        <wp:extent cx="1729105" cy="1729105"/>
                        <wp:effectExtent l="0" t="0" r="0" b="0"/>
                        <wp:wrapNone/>
                        <wp:docPr id="1" name="image1.png" descr="C:\Users\МІРНИЧИЙ\Desktop\Підписи, печатки без фону\Печатка і підпис без фону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C:\Users\МІРНИЧИЙ\Desktop\Підписи, печатки без фону\Печатка і підпис без фону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9105" cy="172910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5001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АТ «</w:t>
                  </w:r>
                  <w:proofErr w:type="spellStart"/>
                  <w:r w:rsidR="00D5001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ПроКредит</w:t>
                  </w:r>
                  <w:proofErr w:type="spellEnd"/>
                  <w:r w:rsidR="00D5001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Банк»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МФО 320984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тел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/факс: +380 67 208 8520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F74CD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М.П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Лаврішко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Є.О.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                        </w:t>
                  </w:r>
                </w:p>
              </w:tc>
            </w:tr>
          </w:tbl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F74CDC" w:rsidRDefault="00D500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"ЗАМОВНИК"</w:t>
            </w:r>
          </w:p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74CDC" w:rsidRDefault="00D500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</w:tbl>
    <w:p w:rsidR="00F74CDC" w:rsidRDefault="00F74CDC"/>
    <w:p w:rsidR="00F74CDC" w:rsidRDefault="00F74CDC"/>
    <w:sectPr w:rsidR="00F74CDC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532F2"/>
    <w:multiLevelType w:val="multilevel"/>
    <w:tmpl w:val="3D6EF7A4"/>
    <w:lvl w:ilvl="0">
      <w:start w:val="2"/>
      <w:numFmt w:val="decimal"/>
      <w:lvlText w:val="%1."/>
      <w:lvlJc w:val="left"/>
      <w:pPr>
        <w:ind w:left="1280" w:hanging="360"/>
      </w:pPr>
    </w:lvl>
    <w:lvl w:ilvl="1">
      <w:start w:val="1"/>
      <w:numFmt w:val="decimal"/>
      <w:lvlText w:val="%1.%2"/>
      <w:lvlJc w:val="left"/>
      <w:pPr>
        <w:ind w:left="928" w:hanging="360"/>
      </w:pPr>
      <w:rPr>
        <w:b w:val="0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64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64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00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36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236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720" w:hanging="1800"/>
      </w:pPr>
      <w:rPr>
        <w:b w:val="0"/>
        <w:i w:val="0"/>
      </w:rPr>
    </w:lvl>
  </w:abstractNum>
  <w:abstractNum w:abstractNumId="1">
    <w:nsid w:val="68CF291E"/>
    <w:multiLevelType w:val="multilevel"/>
    <w:tmpl w:val="5B58A5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4CDC"/>
    <w:rsid w:val="008741D4"/>
    <w:rsid w:val="00CA41B9"/>
    <w:rsid w:val="00CD5DEF"/>
    <w:rsid w:val="00D5001B"/>
    <w:rsid w:val="00F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8I/jGAAw3Jqk6UxaYX1wdRUFQ==">CgMxLjAyCWguMzBqMHpsbDIJaC4zMGowemxsOAByITFQX28xMGZvam5rSGpJa1U3WDgzZzhPVjcwRXg5cWdwaQ==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Mirnychy(00)</dc:creator>
  <cp:lastModifiedBy>Bambrik</cp:lastModifiedBy>
  <cp:revision>5</cp:revision>
  <dcterms:created xsi:type="dcterms:W3CDTF">2023-05-18T09:57:00Z</dcterms:created>
  <dcterms:modified xsi:type="dcterms:W3CDTF">2023-07-26T07:18:00Z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