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dipende dalla piattaforma: dal catalogo spedisce sempre Fully, sul custom ci sono varianti. Cambia anche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t>Sul custom pero' esistono delle varianti, e vanno conosciute: a volte e' la fabbrica a spedire direttamente al cliente, saltando Fully; altre volte la fabbrica manda il carico a Fully e poi e' Fully a spedire al cliente. Quale delle due si usa dipende dai quantitativi e dalla tassazione, quindi e' una scelta da fare caso per caso e con attenzione. Prima di dire a un cliente chi gli spedira', verifica su quale delle due strade e' passato quell'ordine specifico.</w:t>
        <w:br/>
        <w:br/>
        <w:t>Prodotti da catalogo (kanokimonos.com):</w:t>
        <w:br/>
        <w:t>Qui la fabbrica non c'entra. Il sito manda a Fully direttamente gli SKU che Fully ha gia' nei suoi scaffali, con l'indirizzo di quel singolo ordine. La catena e': kanokimonos.com -&gt; Fully -&gt; cliente. La fabbrica si salta.</w:t>
        <w:br/>
        <w:t>Qui non ci sono varianti: al cliente spedisce sempre Fully, e la fabbrica non spedisce mai direttamente a un cliente del catalogo. Attenzione a non confondere due cose diverse: la fabbrica RIFORNISCE il magazzino di Fully, e questo vale anche per i prodotti da catalogo e per le special edition; ma la fabbrica non entra mai nel viaggio dell'ordine verso il cliente del catalogo, che parte sempre e solo da Fully.</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