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80"/>
        <w:jc w:val="center"/>
      </w:pPr>
      <w:r>
        <w:rPr>
          <w:rFonts w:ascii="Montserrat" w:cs="Montserrat" w:eastAsia="Montserrat" w:hAnsi="Montserrat"/>
          <w:b/>
          <w:bCs/>
          <w:color w:val="6C5CE7"/>
          <w:sz w:val="72"/>
          <w:szCs w:val="72"/>
        </w:rPr>
        <w:t xml:space="preserve">CLIC</w:t>
      </w:r>
    </w:p>
    <w:p>
      <w:pPr>
        <w:spacing w:after="600"/>
        <w:jc w:val="center"/>
      </w:pPr>
      <w:r>
        <w:rPr>
          <w:rFonts w:ascii="Montserrat" w:cs="Montserrat" w:eastAsia="Montserrat" w:hAnsi="Montserrat"/>
          <w:b w:val="false"/>
          <w:bCs w:val="false"/>
          <w:color w:val="6B6B76"/>
          <w:sz w:val="24"/>
          <w:szCs w:val="24"/>
        </w:rPr>
        <w:t xml:space="preserve">Centre pour l'Inclusion et la Culture du Numérique</w:t>
      </w:r>
    </w:p>
    <w:p>
      <w:pPr>
        <w:spacing w:after="1200"/>
      </w:pPr>
    </w:p>
    <w:p>
      <w:pPr>
        <w:spacing w:after="60"/>
        <w:jc w:val="center"/>
      </w:pPr>
      <w:r>
        <w:rPr>
          <w:rFonts w:ascii="Montserrat" w:cs="Montserrat" w:eastAsia="Montserrat" w:hAnsi="Montserrat"/>
          <w:b/>
          <w:bCs/>
          <w:color w:val="3B2BAA"/>
          <w:sz w:val="44"/>
          <w:szCs w:val="44"/>
        </w:rPr>
        <w:t xml:space="preserve">STATUTS</w:t>
      </w:r>
    </w:p>
    <w:p>
      <w:pPr>
        <w:spacing w:after="60"/>
        <w:jc w:val="center"/>
      </w:pPr>
      <w:r>
        <w:rPr>
          <w:rFonts w:ascii="Montserrat" w:cs="Montserrat" w:eastAsia="Montserrat" w:hAnsi="Montserrat"/>
          <w:b w:val="false"/>
          <w:bCs w:val="false"/>
          <w:color w:val="6B6B76"/>
          <w:sz w:val="22"/>
          <w:szCs w:val="22"/>
        </w:rPr>
        <w:t xml:space="preserve">ET</w:t>
      </w:r>
    </w:p>
    <w:p>
      <w:pPr>
        <w:spacing w:after="900"/>
        <w:jc w:val="center"/>
      </w:pPr>
      <w:r>
        <w:rPr>
          <w:rFonts w:ascii="Montserrat" w:cs="Montserrat" w:eastAsia="Montserrat" w:hAnsi="Montserrat"/>
          <w:b/>
          <w:bCs/>
          <w:color w:val="3B2BAA"/>
          <w:sz w:val="44"/>
          <w:szCs w:val="44"/>
        </w:rPr>
        <w:t xml:space="preserve">RÈGLEMENT INTÉRIEUR</w:t>
      </w:r>
    </w:p>
    <w:p>
      <w:pPr>
        <w:spacing w:after="80"/>
        <w:jc w:val="center"/>
      </w:pPr>
      <w:r>
        <w:rPr>
          <w:rFonts w:ascii="Times New Roman" w:cs="Times New Roman" w:eastAsia="Times New Roman" w:hAnsi="Times New Roman"/>
          <w:i/>
          <w:iCs/>
          <w:color w:val="6C5CE7"/>
          <w:sz w:val="22"/>
          <w:szCs w:val="22"/>
        </w:rPr>
        <w:t xml:space="preserve">"Parce que le numérique appartient à tous."</w:t>
      </w:r>
    </w:p>
    <w:p>
      <w:pPr>
        <w:spacing w:after="2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65"/>
        <w:gridCol w:w="2365"/>
        <w:gridCol w:w="2365"/>
        <w:gridCol w:w="2445"/>
      </w:tblGrid>
      <w:tr>
        <w:tc>
          <w:tcPr>
            <w:tcW w:type="pct" w:w="25%"/>
            <w:tcMar>
              <w:top w:type="dxa" w:w="60"/>
              <w:left w:type="dxa" w:w="80"/>
              <w:bottom w:type="dxa" w:w="60"/>
              <w:right w:type="dxa" w:w="80"/>
            </w:tcMar>
          </w:tcPr>
          <w:p>
            <w:r>
              <w:rPr>
                <w:rFonts w:ascii="Montserrat" w:cs="Montserrat" w:eastAsia="Montserrat" w:hAnsi="Montserrat"/>
                <w:color w:val="6B6B76"/>
                <w:sz w:val="15"/>
                <w:szCs w:val="15"/>
              </w:rPr>
              <w:t xml:space="preserve">ORGANISATION</w:t>
            </w:r>
          </w:p>
        </w:tc>
        <w:tc>
          <w:tcPr>
            <w:tcW w:type="pct" w:w="25%"/>
            <w:tcMar>
              <w:top w:type="dxa" w:w="60"/>
              <w:left w:type="dxa" w:w="80"/>
              <w:bottom w:type="dxa" w:w="60"/>
              <w:right w:type="dxa" w:w="80"/>
            </w:tcMar>
          </w:tcPr>
          <w:p>
            <w:r>
              <w:rPr>
                <w:rFonts w:ascii="Montserrat" w:cs="Montserrat" w:eastAsia="Montserrat" w:hAnsi="Montserrat"/>
                <w:color w:val="6B6B76"/>
                <w:sz w:val="15"/>
                <w:szCs w:val="15"/>
              </w:rPr>
              <w:t xml:space="preserve">SIÈGE</w:t>
            </w:r>
          </w:p>
        </w:tc>
        <w:tc>
          <w:tcPr>
            <w:tcW w:type="pct" w:w="25%"/>
            <w:tcMar>
              <w:top w:type="dxa" w:w="60"/>
              <w:left w:type="dxa" w:w="80"/>
              <w:bottom w:type="dxa" w:w="60"/>
              <w:right w:type="dxa" w:w="80"/>
            </w:tcMar>
          </w:tcPr>
          <w:p>
            <w:r>
              <w:rPr>
                <w:rFonts w:ascii="Montserrat" w:cs="Montserrat" w:eastAsia="Montserrat" w:hAnsi="Montserrat"/>
                <w:color w:val="6B6B76"/>
                <w:sz w:val="15"/>
                <w:szCs w:val="15"/>
              </w:rPr>
              <w:t xml:space="preserve">VERSION</w:t>
            </w:r>
          </w:p>
        </w:tc>
        <w:tc>
          <w:tcPr>
            <w:tcW w:type="pct" w:w="25%"/>
            <w:tcMar>
              <w:top w:type="dxa" w:w="60"/>
              <w:left w:type="dxa" w:w="80"/>
              <w:bottom w:type="dxa" w:w="60"/>
              <w:right w:type="dxa" w:w="80"/>
            </w:tcMar>
          </w:tcPr>
          <w:p>
            <w:r>
              <w:rPr>
                <w:rFonts w:ascii="Montserrat" w:cs="Montserrat" w:eastAsia="Montserrat" w:hAnsi="Montserrat"/>
                <w:color w:val="6B6B76"/>
                <w:sz w:val="15"/>
                <w:szCs w:val="15"/>
              </w:rPr>
              <w:t xml:space="preserve">ANNÉE</w:t>
            </w:r>
          </w:p>
        </w:tc>
      </w:tr>
      <w:tr>
        <w:tc>
          <w:tcPr>
            <w:tcW w:type="pct" w:w="25%"/>
            <w:tcMar>
              <w:top w:type="dxa" w:w="20"/>
              <w:left w:type="dxa" w:w="80"/>
              <w:bottom w:type="dxa" w:w="60"/>
              <w:right w:type="dxa" w:w="80"/>
            </w:tcMar>
          </w:tcPr>
          <w:p>
            <w:r>
              <w:rPr>
                <w:rFonts w:ascii="Times New Roman" w:cs="Times New Roman" w:eastAsia="Times New Roman" w:hAnsi="Times New Roman"/>
                <w:b/>
                <w:bCs/>
                <w:color w:val="6C5CE7"/>
                <w:sz w:val="20"/>
                <w:szCs w:val="20"/>
              </w:rPr>
              <w:t xml:space="preserve">CLIC — Côte d'Ivoire</w:t>
            </w:r>
          </w:p>
        </w:tc>
        <w:tc>
          <w:tcPr>
            <w:tcW w:type="pct" w:w="25%"/>
            <w:tcMar>
              <w:top w:type="dxa" w:w="20"/>
              <w:left w:type="dxa" w:w="80"/>
              <w:bottom w:type="dxa" w:w="60"/>
              <w:right w:type="dxa" w:w="80"/>
            </w:tcMar>
          </w:tcPr>
          <w:p>
            <w:r>
              <w:rPr>
                <w:rFonts w:ascii="Times New Roman" w:cs="Times New Roman" w:eastAsia="Times New Roman" w:hAnsi="Times New Roman"/>
                <w:b/>
                <w:bCs/>
                <w:color w:val="6C5CE7"/>
                <w:sz w:val="20"/>
                <w:szCs w:val="20"/>
              </w:rPr>
              <w:t xml:space="preserve">Abidjan</w:t>
            </w:r>
          </w:p>
        </w:tc>
        <w:tc>
          <w:tcPr>
            <w:tcW w:type="pct" w:w="25%"/>
            <w:tcMar>
              <w:top w:type="dxa" w:w="20"/>
              <w:left w:type="dxa" w:w="80"/>
              <w:bottom w:type="dxa" w:w="60"/>
              <w:right w:type="dxa" w:w="80"/>
            </w:tcMar>
          </w:tcPr>
          <w:p>
            <w:r>
              <w:rPr>
                <w:rFonts w:ascii="Times New Roman" w:cs="Times New Roman" w:eastAsia="Times New Roman" w:hAnsi="Times New Roman"/>
                <w:b/>
                <w:bCs/>
                <w:color w:val="6C5CE7"/>
                <w:sz w:val="20"/>
                <w:szCs w:val="20"/>
              </w:rPr>
              <w:t xml:space="preserve">1.0</w:t>
            </w:r>
          </w:p>
        </w:tc>
        <w:tc>
          <w:tcPr>
            <w:tcW w:type="pct" w:w="25%"/>
            <w:tcMar>
              <w:top w:type="dxa" w:w="20"/>
              <w:left w:type="dxa" w:w="80"/>
              <w:bottom w:type="dxa" w:w="60"/>
              <w:right w:type="dxa" w:w="80"/>
            </w:tcMar>
          </w:tcPr>
          <w:p>
            <w:r>
              <w:rPr>
                <w:rFonts w:ascii="Times New Roman" w:cs="Times New Roman" w:eastAsia="Times New Roman" w:hAnsi="Times New Roman"/>
                <w:b/>
                <w:bCs/>
                <w:color w:val="6C5CE7"/>
                <w:sz w:val="20"/>
                <w:szCs w:val="20"/>
              </w:rPr>
              <w:t xml:space="preserve">2026</w:t>
            </w:r>
          </w:p>
        </w:tc>
      </w:tr>
    </w:tbl>
    <w:p>
      <w:pPr>
        <w:spacing w:before="3200"/>
        <w:jc w:val="center"/>
      </w:pPr>
      <w:r>
        <w:rPr>
          <w:rFonts w:ascii="Times New Roman" w:cs="Times New Roman" w:eastAsia="Times New Roman" w:hAnsi="Times New Roman"/>
          <w:i/>
          <w:iCs/>
          <w:color w:val="6B6B76"/>
          <w:sz w:val="18"/>
          <w:szCs w:val="18"/>
        </w:rPr>
        <w:t xml:space="preserve">Document constitutif adopté par l'Assemblée Générale Constitutive des membres fondateurs</w:t>
      </w:r>
    </w:p>
    <w:p>
      <w:pPr>
        <w:sectPr>
          <w:pgSz w:w="11906" w:h="16838" w:orient="portrait"/>
          <w:pgMar w:top="1440" w:right="1440" w:bottom="1440" w:left="1440" w:header="708" w:footer="708" w:gutter="0"/>
          <w:pgNumType/>
          <w:docGrid w:linePitch="360"/>
        </w:sectPr>
      </w:pPr>
    </w:p>
    <w:p>
      <w:pPr>
        <w:pStyle w:val="Heading1"/>
        <w:pBdr>
          <w:bottom w:val="single" w:color="6C5CE7" w:sz="8" w:space="4"/>
        </w:pBdr>
        <w:spacing w:after="200" w:before="480"/>
      </w:pPr>
      <w:r>
        <w:rPr>
          <w:rFonts w:ascii="Montserrat" w:cs="Montserrat" w:eastAsia="Montserrat" w:hAnsi="Montserrat"/>
          <w:b/>
          <w:bCs/>
          <w:color w:val="3B2BAA"/>
          <w:sz w:val="30"/>
          <w:szCs w:val="30"/>
        </w:rPr>
        <w:t xml:space="preserve">PRÉAMBULE</w:t>
      </w:r>
    </w:p>
    <w:p>
      <w:pPr>
        <w:spacing w:after="160" w:line="300"/>
        <w:jc w:val="both"/>
      </w:pPr>
      <w:r>
        <w:rPr>
          <w:rFonts w:ascii="Times New Roman" w:cs="Times New Roman" w:eastAsia="Times New Roman" w:hAnsi="Times New Roman"/>
          <w:sz w:val="22"/>
          <w:szCs w:val="22"/>
        </w:rPr>
        <w:t xml:space="preserve">Il a été formé, entre les membres fondateurs soussignés et tous ceux qui adhéreront ultérieurement aux présents statuts, une association à but non lucratif régie par la loi en vigueur en République de Côte d'Ivoire relative aux associations, ainsi que par les présents statuts, dénommée « CLIC — Centre pour l'Inclusion et la Culture du Numérique ».</w:t>
      </w:r>
    </w:p>
    <w:p>
      <w:pPr>
        <w:spacing w:after="160" w:line="300"/>
        <w:jc w:val="both"/>
      </w:pPr>
      <w:r>
        <w:rPr>
          <w:rFonts w:ascii="Times New Roman" w:cs="Times New Roman" w:eastAsia="Times New Roman" w:hAnsi="Times New Roman"/>
          <w:sz w:val="22"/>
          <w:szCs w:val="22"/>
        </w:rPr>
        <w:t xml:space="preserve">CLIC œuvre pour l'inclusion numérique, l'éducation digitale et la citoyenneté responsable, avec pour ambition de rendre le numérique accessible à tous, en particulier à la jeunesse africaine.</w:t>
      </w:r>
    </w:p>
    <w:p>
      <w:r>
        <w:br w:type="page"/>
      </w:r>
    </w:p>
    <w:p>
      <w:pPr>
        <w:pStyle w:val="Heading1"/>
        <w:pBdr>
          <w:bottom w:val="single" w:color="6C5CE7" w:sz="8" w:space="4"/>
        </w:pBdr>
        <w:spacing w:after="200" w:before="480"/>
      </w:pPr>
      <w:r>
        <w:rPr>
          <w:rFonts w:ascii="Montserrat" w:cs="Montserrat" w:eastAsia="Montserrat" w:hAnsi="Montserrat"/>
          <w:b/>
          <w:bCs/>
          <w:color w:val="3B2BAA"/>
          <w:sz w:val="30"/>
          <w:szCs w:val="30"/>
        </w:rPr>
        <w:t xml:space="preserve">TITRE I — DÉNOMINATION, OBJET, SIÈGE ET DURÉE</w:t>
      </w:r>
    </w:p>
    <w:p>
      <w:pPr>
        <w:spacing w:after="100" w:before="240"/>
      </w:pPr>
      <w:r>
        <w:rPr>
          <w:rFonts w:ascii="Times New Roman" w:cs="Times New Roman" w:eastAsia="Times New Roman" w:hAnsi="Times New Roman"/>
          <w:b/>
          <w:bCs/>
          <w:color w:val="0A0A0F"/>
          <w:sz w:val="22"/>
          <w:szCs w:val="22"/>
        </w:rPr>
        <w:t xml:space="preserve">Article 1 — </w:t>
      </w:r>
      <w:r>
        <w:rPr>
          <w:rFonts w:ascii="Times New Roman" w:cs="Times New Roman" w:eastAsia="Times New Roman" w:hAnsi="Times New Roman"/>
          <w:b/>
          <w:bCs/>
          <w:i/>
          <w:iCs/>
          <w:color w:val="0A0A0F"/>
          <w:sz w:val="22"/>
          <w:szCs w:val="22"/>
        </w:rPr>
        <w:t xml:space="preserve">Dénomination</w:t>
      </w:r>
    </w:p>
    <w:p>
      <w:pPr>
        <w:spacing w:after="160" w:line="300"/>
        <w:jc w:val="both"/>
      </w:pPr>
      <w:r>
        <w:rPr>
          <w:rFonts w:ascii="Times New Roman" w:cs="Times New Roman" w:eastAsia="Times New Roman" w:hAnsi="Times New Roman"/>
          <w:sz w:val="22"/>
          <w:szCs w:val="22"/>
        </w:rPr>
        <w:t xml:space="preserve">L'association est dénommée « CLIC — Centre pour l'Inclusion et la Culture du Numérique », ci-après désignée « l'Association » ou « CLIC ».</w:t>
      </w:r>
    </w:p>
    <w:p>
      <w:pPr>
        <w:spacing w:after="100" w:before="240"/>
      </w:pPr>
      <w:r>
        <w:rPr>
          <w:rFonts w:ascii="Times New Roman" w:cs="Times New Roman" w:eastAsia="Times New Roman" w:hAnsi="Times New Roman"/>
          <w:b/>
          <w:bCs/>
          <w:color w:val="0A0A0F"/>
          <w:sz w:val="22"/>
          <w:szCs w:val="22"/>
        </w:rPr>
        <w:t xml:space="preserve">Article 2 — </w:t>
      </w:r>
      <w:r>
        <w:rPr>
          <w:rFonts w:ascii="Times New Roman" w:cs="Times New Roman" w:eastAsia="Times New Roman" w:hAnsi="Times New Roman"/>
          <w:b/>
          <w:bCs/>
          <w:i/>
          <w:iCs/>
          <w:color w:val="0A0A0F"/>
          <w:sz w:val="22"/>
          <w:szCs w:val="22"/>
        </w:rPr>
        <w:t xml:space="preserve">Objet</w:t>
      </w:r>
    </w:p>
    <w:p>
      <w:pPr>
        <w:spacing w:after="160" w:line="300"/>
        <w:jc w:val="both"/>
      </w:pPr>
      <w:r>
        <w:rPr>
          <w:rFonts w:ascii="Times New Roman" w:cs="Times New Roman" w:eastAsia="Times New Roman" w:hAnsi="Times New Roman"/>
          <w:sz w:val="22"/>
          <w:szCs w:val="22"/>
        </w:rPr>
        <w:t xml:space="preserve">L'Association a pour objet :</w:t>
      </w:r>
    </w:p>
    <w:p>
      <w:pPr>
        <w:pStyle w:val="ListParagraph"/>
        <w:numPr>
          <w:ilvl w:val="0"/>
          <w:numId w:val="2"/>
        </w:numPr>
        <w:spacing w:after="80"/>
      </w:pPr>
      <w:r>
        <w:rPr>
          <w:rFonts w:ascii="Times New Roman" w:cs="Times New Roman" w:eastAsia="Times New Roman" w:hAnsi="Times New Roman"/>
          <w:sz w:val="22"/>
          <w:szCs w:val="22"/>
        </w:rPr>
        <w:t xml:space="preserve">Promouvoir une éducation inclusive et équitable en Côte d'Ivoire en initiant les jeunes aux outils numériques ;</w:t>
      </w:r>
    </w:p>
    <w:p>
      <w:pPr>
        <w:pStyle w:val="ListParagraph"/>
        <w:numPr>
          <w:ilvl w:val="0"/>
          <w:numId w:val="2"/>
        </w:numPr>
        <w:spacing w:after="80"/>
      </w:pPr>
      <w:r>
        <w:rPr>
          <w:rFonts w:ascii="Times New Roman" w:cs="Times New Roman" w:eastAsia="Times New Roman" w:hAnsi="Times New Roman"/>
          <w:sz w:val="22"/>
          <w:szCs w:val="22"/>
        </w:rPr>
        <w:t xml:space="preserve">Développer des programmes de formation, de sensibilisation et d'accompagnement en faveur de l'inclusion numérique ;</w:t>
      </w:r>
    </w:p>
    <w:p>
      <w:pPr>
        <w:pStyle w:val="ListParagraph"/>
        <w:numPr>
          <w:ilvl w:val="0"/>
          <w:numId w:val="2"/>
        </w:numPr>
        <w:spacing w:after="80"/>
      </w:pPr>
      <w:r>
        <w:rPr>
          <w:rFonts w:ascii="Times New Roman" w:cs="Times New Roman" w:eastAsia="Times New Roman" w:hAnsi="Times New Roman"/>
          <w:sz w:val="22"/>
          <w:szCs w:val="22"/>
        </w:rPr>
        <w:t xml:space="preserve">Favoriser l'émergence d'une citoyenneté numérique responsable ;</w:t>
      </w:r>
    </w:p>
    <w:p>
      <w:pPr>
        <w:pStyle w:val="ListParagraph"/>
        <w:numPr>
          <w:ilvl w:val="0"/>
          <w:numId w:val="2"/>
        </w:numPr>
        <w:spacing w:after="80"/>
      </w:pPr>
      <w:r>
        <w:rPr>
          <w:rFonts w:ascii="Times New Roman" w:cs="Times New Roman" w:eastAsia="Times New Roman" w:hAnsi="Times New Roman"/>
          <w:sz w:val="22"/>
          <w:szCs w:val="22"/>
        </w:rPr>
        <w:t xml:space="preserve">Créer un espace où chaque jeune dispose des compétences numériques nécessaires pour s'épanouir, innover et contribuer à une société équitable et connectée ;</w:t>
      </w:r>
    </w:p>
    <w:p>
      <w:pPr>
        <w:pStyle w:val="ListParagraph"/>
        <w:numPr>
          <w:ilvl w:val="0"/>
          <w:numId w:val="2"/>
        </w:numPr>
        <w:spacing w:after="80"/>
      </w:pPr>
      <w:r>
        <w:rPr>
          <w:rFonts w:ascii="Times New Roman" w:cs="Times New Roman" w:eastAsia="Times New Roman" w:hAnsi="Times New Roman"/>
          <w:sz w:val="22"/>
          <w:szCs w:val="22"/>
        </w:rPr>
        <w:t xml:space="preserve">Nouer des partenariats avec les institutions publiques, privées et la société civile, en Côte d'Ivoire et à l'international, poursuivant des objectifs similaires.</w:t>
      </w:r>
    </w:p>
    <w:p>
      <w:pPr>
        <w:spacing w:after="100" w:before="240"/>
      </w:pPr>
      <w:r>
        <w:rPr>
          <w:rFonts w:ascii="Times New Roman" w:cs="Times New Roman" w:eastAsia="Times New Roman" w:hAnsi="Times New Roman"/>
          <w:b/>
          <w:bCs/>
          <w:color w:val="0A0A0F"/>
          <w:sz w:val="22"/>
          <w:szCs w:val="22"/>
        </w:rPr>
        <w:t xml:space="preserve">Article 3 — </w:t>
      </w:r>
      <w:r>
        <w:rPr>
          <w:rFonts w:ascii="Times New Roman" w:cs="Times New Roman" w:eastAsia="Times New Roman" w:hAnsi="Times New Roman"/>
          <w:b/>
          <w:bCs/>
          <w:i/>
          <w:iCs/>
          <w:color w:val="0A0A0F"/>
          <w:sz w:val="22"/>
          <w:szCs w:val="22"/>
        </w:rPr>
        <w:t xml:space="preserve">Valeurs</w:t>
      </w:r>
    </w:p>
    <w:p>
      <w:pPr>
        <w:spacing w:after="160" w:line="300"/>
        <w:jc w:val="both"/>
      </w:pPr>
      <w:r>
        <w:rPr>
          <w:rFonts w:ascii="Times New Roman" w:cs="Times New Roman" w:eastAsia="Times New Roman" w:hAnsi="Times New Roman"/>
          <w:sz w:val="22"/>
          <w:szCs w:val="22"/>
        </w:rPr>
        <w:t xml:space="preserve">L'Association fonde son action sur les valeurs suivantes : Solidarité, Innovation, Transparence, Respect et Engagement citoyen.</w:t>
      </w:r>
    </w:p>
    <w:p>
      <w:pPr>
        <w:spacing w:after="100" w:before="240"/>
      </w:pPr>
      <w:r>
        <w:rPr>
          <w:rFonts w:ascii="Times New Roman" w:cs="Times New Roman" w:eastAsia="Times New Roman" w:hAnsi="Times New Roman"/>
          <w:b/>
          <w:bCs/>
          <w:color w:val="0A0A0F"/>
          <w:sz w:val="22"/>
          <w:szCs w:val="22"/>
        </w:rPr>
        <w:t xml:space="preserve">Article 4 — </w:t>
      </w:r>
      <w:r>
        <w:rPr>
          <w:rFonts w:ascii="Times New Roman" w:cs="Times New Roman" w:eastAsia="Times New Roman" w:hAnsi="Times New Roman"/>
          <w:b/>
          <w:bCs/>
          <w:i/>
          <w:iCs/>
          <w:color w:val="0A0A0F"/>
          <w:sz w:val="22"/>
          <w:szCs w:val="22"/>
        </w:rPr>
        <w:t xml:space="preserve">Siège social</w:t>
      </w:r>
    </w:p>
    <w:p>
      <w:pPr>
        <w:spacing w:after="160" w:line="300"/>
        <w:jc w:val="both"/>
      </w:pPr>
      <w:r>
        <w:rPr>
          <w:rFonts w:ascii="Times New Roman" w:cs="Times New Roman" w:eastAsia="Times New Roman" w:hAnsi="Times New Roman"/>
          <w:sz w:val="22"/>
          <w:szCs w:val="22"/>
        </w:rPr>
        <w:t xml:space="preserve">Le siège social de l'Association est fixé à Abidjan, République de Côte d'Ivoire. Il pourra être transféré en tout autre lieu par simple décision du Conseil d'Administration, sous réserve de ratification par la prochaine Assemblée Générale.</w:t>
      </w:r>
    </w:p>
    <w:p>
      <w:pPr>
        <w:spacing w:after="100" w:before="240"/>
      </w:pPr>
      <w:r>
        <w:rPr>
          <w:rFonts w:ascii="Times New Roman" w:cs="Times New Roman" w:eastAsia="Times New Roman" w:hAnsi="Times New Roman"/>
          <w:b/>
          <w:bCs/>
          <w:color w:val="0A0A0F"/>
          <w:sz w:val="22"/>
          <w:szCs w:val="22"/>
        </w:rPr>
        <w:t xml:space="preserve">Article 5 — </w:t>
      </w:r>
      <w:r>
        <w:rPr>
          <w:rFonts w:ascii="Times New Roman" w:cs="Times New Roman" w:eastAsia="Times New Roman" w:hAnsi="Times New Roman"/>
          <w:b/>
          <w:bCs/>
          <w:i/>
          <w:iCs/>
          <w:color w:val="0A0A0F"/>
          <w:sz w:val="22"/>
          <w:szCs w:val="22"/>
        </w:rPr>
        <w:t xml:space="preserve">Durée</w:t>
      </w:r>
    </w:p>
    <w:p>
      <w:pPr>
        <w:spacing w:after="160" w:line="300"/>
        <w:jc w:val="both"/>
      </w:pPr>
      <w:r>
        <w:rPr>
          <w:rFonts w:ascii="Times New Roman" w:cs="Times New Roman" w:eastAsia="Times New Roman" w:hAnsi="Times New Roman"/>
          <w:sz w:val="22"/>
          <w:szCs w:val="22"/>
        </w:rPr>
        <w:t xml:space="preserve">L'Association est constituée pour une durée illimitée.</w:t>
      </w:r>
    </w:p>
    <w:p>
      <w:pPr>
        <w:spacing w:after="100" w:before="240"/>
      </w:pPr>
      <w:r>
        <w:rPr>
          <w:rFonts w:ascii="Times New Roman" w:cs="Times New Roman" w:eastAsia="Times New Roman" w:hAnsi="Times New Roman"/>
          <w:b/>
          <w:bCs/>
          <w:color w:val="0A0A0F"/>
          <w:sz w:val="22"/>
          <w:szCs w:val="22"/>
        </w:rPr>
        <w:t xml:space="preserve">Article 6 — </w:t>
      </w:r>
      <w:r>
        <w:rPr>
          <w:rFonts w:ascii="Times New Roman" w:cs="Times New Roman" w:eastAsia="Times New Roman" w:hAnsi="Times New Roman"/>
          <w:b/>
          <w:bCs/>
          <w:i/>
          <w:iCs/>
          <w:color w:val="0A0A0F"/>
          <w:sz w:val="22"/>
          <w:szCs w:val="22"/>
        </w:rPr>
        <w:t xml:space="preserve">Langue et rayonnement</w:t>
      </w:r>
    </w:p>
    <w:p>
      <w:pPr>
        <w:spacing w:after="160" w:line="300"/>
        <w:jc w:val="both"/>
      </w:pPr>
      <w:r>
        <w:rPr>
          <w:rFonts w:ascii="Times New Roman" w:cs="Times New Roman" w:eastAsia="Times New Roman" w:hAnsi="Times New Roman"/>
          <w:sz w:val="22"/>
          <w:szCs w:val="22"/>
        </w:rPr>
        <w:t xml:space="preserve">La langue de travail de l'Association est le français. L'Association a vocation à rayonner à l'échelle nationale et, à terme, à l'échelle internationale, conformément à son ambition portée par le slogan « L'Afrique qui code son propre avenir ».</w:t>
      </w:r>
    </w:p>
    <w:p>
      <w:r>
        <w:br w:type="page"/>
      </w:r>
    </w:p>
    <w:p>
      <w:pPr>
        <w:pStyle w:val="Heading1"/>
        <w:pBdr>
          <w:bottom w:val="single" w:color="6C5CE7" w:sz="8" w:space="4"/>
        </w:pBdr>
        <w:spacing w:after="200" w:before="480"/>
      </w:pPr>
      <w:r>
        <w:rPr>
          <w:rFonts w:ascii="Montserrat" w:cs="Montserrat" w:eastAsia="Montserrat" w:hAnsi="Montserrat"/>
          <w:b/>
          <w:bCs/>
          <w:color w:val="3B2BAA"/>
          <w:sz w:val="30"/>
          <w:szCs w:val="30"/>
        </w:rPr>
        <w:t xml:space="preserve">TITRE II — MEMBRES FONDATEURS ET COMPOSITION</w:t>
      </w:r>
    </w:p>
    <w:p>
      <w:pPr>
        <w:spacing w:after="100" w:before="240"/>
      </w:pPr>
      <w:r>
        <w:rPr>
          <w:rFonts w:ascii="Times New Roman" w:cs="Times New Roman" w:eastAsia="Times New Roman" w:hAnsi="Times New Roman"/>
          <w:b/>
          <w:bCs/>
          <w:color w:val="0A0A0F"/>
          <w:sz w:val="22"/>
          <w:szCs w:val="22"/>
        </w:rPr>
        <w:t xml:space="preserve">Article 7 — </w:t>
      </w:r>
      <w:r>
        <w:rPr>
          <w:rFonts w:ascii="Times New Roman" w:cs="Times New Roman" w:eastAsia="Times New Roman" w:hAnsi="Times New Roman"/>
          <w:b/>
          <w:bCs/>
          <w:i/>
          <w:iCs/>
          <w:color w:val="0A0A0F"/>
          <w:sz w:val="22"/>
          <w:szCs w:val="22"/>
        </w:rPr>
        <w:t xml:space="preserve">Membres fondateurs</w:t>
      </w:r>
    </w:p>
    <w:p>
      <w:pPr>
        <w:spacing w:after="160" w:line="300"/>
        <w:jc w:val="both"/>
      </w:pPr>
      <w:r>
        <w:rPr>
          <w:rFonts w:ascii="Times New Roman" w:cs="Times New Roman" w:eastAsia="Times New Roman" w:hAnsi="Times New Roman"/>
          <w:sz w:val="22"/>
          <w:szCs w:val="22"/>
        </w:rPr>
        <w:t xml:space="preserve">L'Association a été créée à l'initiative des membres fondateurs suivants, réunis en Assemblée Générale Constitutive :</w:t>
      </w:r>
    </w:p>
    <w:p>
      <w:pPr>
        <w:pStyle w:val="ListParagraph"/>
        <w:numPr>
          <w:ilvl w:val="0"/>
          <w:numId w:val="2"/>
        </w:numPr>
        <w:spacing w:after="80"/>
      </w:pPr>
      <w:r>
        <w:rPr>
          <w:rFonts w:ascii="Times New Roman" w:cs="Times New Roman" w:eastAsia="Times New Roman" w:hAnsi="Times New Roman"/>
          <w:sz w:val="22"/>
          <w:szCs w:val="22"/>
        </w:rPr>
        <w:t xml:space="preserve">KONE Idrisse Junior — Président Fondateur</w:t>
      </w:r>
    </w:p>
    <w:p>
      <w:pPr>
        <w:pStyle w:val="ListParagraph"/>
        <w:numPr>
          <w:ilvl w:val="0"/>
          <w:numId w:val="2"/>
        </w:numPr>
        <w:spacing w:after="80"/>
      </w:pPr>
      <w:r>
        <w:rPr>
          <w:rFonts w:ascii="Times New Roman" w:cs="Times New Roman" w:eastAsia="Times New Roman" w:hAnsi="Times New Roman"/>
          <w:sz w:val="22"/>
          <w:szCs w:val="22"/>
        </w:rPr>
        <w:t xml:space="preserve">BAMBA Mohamed — Responsable des Technologies de l'Information (informaticien)</w:t>
      </w:r>
    </w:p>
    <w:p>
      <w:pPr>
        <w:pStyle w:val="ListParagraph"/>
        <w:numPr>
          <w:ilvl w:val="0"/>
          <w:numId w:val="2"/>
        </w:numPr>
        <w:spacing w:after="80"/>
      </w:pPr>
      <w:r>
        <w:rPr>
          <w:rFonts w:ascii="Times New Roman" w:cs="Times New Roman" w:eastAsia="Times New Roman" w:hAnsi="Times New Roman"/>
          <w:sz w:val="22"/>
          <w:szCs w:val="22"/>
        </w:rPr>
        <w:t xml:space="preserve">Marc Antoine DA — Responsable de la Communication et du Design Graphique</w:t>
      </w:r>
    </w:p>
    <w:p>
      <w:pPr>
        <w:pStyle w:val="ListParagraph"/>
        <w:numPr>
          <w:ilvl w:val="0"/>
          <w:numId w:val="2"/>
        </w:numPr>
        <w:spacing w:after="80"/>
      </w:pPr>
      <w:r>
        <w:rPr>
          <w:rFonts w:ascii="Times New Roman" w:cs="Times New Roman" w:eastAsia="Times New Roman" w:hAnsi="Times New Roman"/>
          <w:sz w:val="22"/>
          <w:szCs w:val="22"/>
        </w:rPr>
        <w:t xml:space="preserve">Hassan DIARRASSOUBA — Trésorier Général</w:t>
      </w:r>
    </w:p>
    <w:p>
      <w:pPr>
        <w:spacing w:after="160" w:line="300"/>
        <w:jc w:val="both"/>
      </w:pPr>
      <w:r>
        <w:rPr>
          <w:rFonts w:ascii="Times New Roman" w:cs="Times New Roman" w:eastAsia="Times New Roman" w:hAnsi="Times New Roman"/>
          <w:sz w:val="22"/>
          <w:szCs w:val="22"/>
        </w:rPr>
        <w:t xml:space="preserve">Les fonctions et attributions détaillées de chaque membre fondateur au sein du Bureau Exécutif sont précisées au Titre IV des présents statuts.</w:t>
      </w:r>
    </w:p>
    <w:p>
      <w:pPr>
        <w:spacing w:after="100" w:before="240"/>
      </w:pPr>
      <w:r>
        <w:rPr>
          <w:rFonts w:ascii="Times New Roman" w:cs="Times New Roman" w:eastAsia="Times New Roman" w:hAnsi="Times New Roman"/>
          <w:b/>
          <w:bCs/>
          <w:color w:val="0A0A0F"/>
          <w:sz w:val="22"/>
          <w:szCs w:val="22"/>
        </w:rPr>
        <w:t xml:space="preserve">Article 8 — </w:t>
      </w:r>
      <w:r>
        <w:rPr>
          <w:rFonts w:ascii="Times New Roman" w:cs="Times New Roman" w:eastAsia="Times New Roman" w:hAnsi="Times New Roman"/>
          <w:b/>
          <w:bCs/>
          <w:i/>
          <w:iCs/>
          <w:color w:val="0A0A0F"/>
          <w:sz w:val="22"/>
          <w:szCs w:val="22"/>
        </w:rPr>
        <w:t xml:space="preserve">Catégories de membres</w:t>
      </w:r>
    </w:p>
    <w:p>
      <w:pPr>
        <w:spacing w:after="160" w:line="300"/>
        <w:jc w:val="both"/>
      </w:pPr>
      <w:r>
        <w:rPr>
          <w:rFonts w:ascii="Times New Roman" w:cs="Times New Roman" w:eastAsia="Times New Roman" w:hAnsi="Times New Roman"/>
          <w:sz w:val="22"/>
          <w:szCs w:val="22"/>
        </w:rPr>
        <w:t xml:space="preserve">L'Association se compose des catégories de membres suivantes :</w:t>
      </w:r>
    </w:p>
    <w:p>
      <w:pPr>
        <w:pStyle w:val="ListParagraph"/>
        <w:numPr>
          <w:ilvl w:val="0"/>
          <w:numId w:val="2"/>
        </w:numPr>
        <w:spacing w:after="80"/>
      </w:pPr>
      <w:r>
        <w:rPr>
          <w:rFonts w:ascii="Times New Roman" w:cs="Times New Roman" w:eastAsia="Times New Roman" w:hAnsi="Times New Roman"/>
          <w:sz w:val="22"/>
          <w:szCs w:val="22"/>
        </w:rPr>
        <w:t xml:space="preserve">Membres fondateurs : personnes ayant participé à la création de l'Association et signataires des présents statuts ;</w:t>
      </w:r>
    </w:p>
    <w:p>
      <w:pPr>
        <w:pStyle w:val="ListParagraph"/>
        <w:numPr>
          <w:ilvl w:val="0"/>
          <w:numId w:val="2"/>
        </w:numPr>
        <w:spacing w:after="80"/>
      </w:pPr>
      <w:r>
        <w:rPr>
          <w:rFonts w:ascii="Times New Roman" w:cs="Times New Roman" w:eastAsia="Times New Roman" w:hAnsi="Times New Roman"/>
          <w:sz w:val="22"/>
          <w:szCs w:val="22"/>
        </w:rPr>
        <w:t xml:space="preserve">Membres actifs : toute personne physique adhérant aux présents statuts, à jour de ses cotisations et participant activement aux activités de l'Association ;</w:t>
      </w:r>
    </w:p>
    <w:p>
      <w:pPr>
        <w:pStyle w:val="ListParagraph"/>
        <w:numPr>
          <w:ilvl w:val="0"/>
          <w:numId w:val="2"/>
        </w:numPr>
        <w:spacing w:after="80"/>
      </w:pPr>
      <w:r>
        <w:rPr>
          <w:rFonts w:ascii="Times New Roman" w:cs="Times New Roman" w:eastAsia="Times New Roman" w:hAnsi="Times New Roman"/>
          <w:sz w:val="22"/>
          <w:szCs w:val="22"/>
        </w:rPr>
        <w:t xml:space="preserve">Membres d'honneur : toute personne physique ou morale ayant rendu des services signalés à l'Association, admise sur proposition du Bureau Exécutif et approuvée par l'Assemblée Générale ; elle est dispensée de cotisation ;</w:t>
      </w:r>
    </w:p>
    <w:p>
      <w:pPr>
        <w:pStyle w:val="ListParagraph"/>
        <w:numPr>
          <w:ilvl w:val="0"/>
          <w:numId w:val="2"/>
        </w:numPr>
        <w:spacing w:after="80"/>
      </w:pPr>
      <w:r>
        <w:rPr>
          <w:rFonts w:ascii="Times New Roman" w:cs="Times New Roman" w:eastAsia="Times New Roman" w:hAnsi="Times New Roman"/>
          <w:sz w:val="22"/>
          <w:szCs w:val="22"/>
        </w:rPr>
        <w:t xml:space="preserve">Membres partenaires : personnes morales (entreprises, institutions, organisations) soutenant l'Association dans le cadre d'une convention de partenariat.</w:t>
      </w:r>
    </w:p>
    <w:p>
      <w:pPr>
        <w:spacing w:after="100" w:before="240"/>
      </w:pPr>
      <w:r>
        <w:rPr>
          <w:rFonts w:ascii="Times New Roman" w:cs="Times New Roman" w:eastAsia="Times New Roman" w:hAnsi="Times New Roman"/>
          <w:b/>
          <w:bCs/>
          <w:color w:val="0A0A0F"/>
          <w:sz w:val="22"/>
          <w:szCs w:val="22"/>
        </w:rPr>
        <w:t xml:space="preserve">Article 9 — </w:t>
      </w:r>
      <w:r>
        <w:rPr>
          <w:rFonts w:ascii="Times New Roman" w:cs="Times New Roman" w:eastAsia="Times New Roman" w:hAnsi="Times New Roman"/>
          <w:b/>
          <w:bCs/>
          <w:i/>
          <w:iCs/>
          <w:color w:val="0A0A0F"/>
          <w:sz w:val="22"/>
          <w:szCs w:val="22"/>
        </w:rPr>
        <w:t xml:space="preserve">Admission</w:t>
      </w:r>
    </w:p>
    <w:p>
      <w:pPr>
        <w:spacing w:after="160" w:line="300"/>
        <w:jc w:val="both"/>
      </w:pPr>
      <w:r>
        <w:rPr>
          <w:rFonts w:ascii="Times New Roman" w:cs="Times New Roman" w:eastAsia="Times New Roman" w:hAnsi="Times New Roman"/>
          <w:sz w:val="22"/>
          <w:szCs w:val="22"/>
        </w:rPr>
        <w:t xml:space="preserve">L'admission des membres actifs est prononcée par le Bureau Exécutif, sur demande écrite ou verbale de l'intéressé, après acceptation des présents statuts et du règlement intérieur. Le Bureau Exécutif statue souverainement sur les demandes d'admission, sans être tenu de motiver un refus.</w:t>
      </w:r>
    </w:p>
    <w:p>
      <w:pPr>
        <w:spacing w:after="100" w:before="240"/>
      </w:pPr>
      <w:r>
        <w:rPr>
          <w:rFonts w:ascii="Times New Roman" w:cs="Times New Roman" w:eastAsia="Times New Roman" w:hAnsi="Times New Roman"/>
          <w:b/>
          <w:bCs/>
          <w:color w:val="0A0A0F"/>
          <w:sz w:val="22"/>
          <w:szCs w:val="22"/>
        </w:rPr>
        <w:t xml:space="preserve">Article 10 — </w:t>
      </w:r>
      <w:r>
        <w:rPr>
          <w:rFonts w:ascii="Times New Roman" w:cs="Times New Roman" w:eastAsia="Times New Roman" w:hAnsi="Times New Roman"/>
          <w:b/>
          <w:bCs/>
          <w:i/>
          <w:iCs/>
          <w:color w:val="0A0A0F"/>
          <w:sz w:val="22"/>
          <w:szCs w:val="22"/>
        </w:rPr>
        <w:t xml:space="preserve">Perte de la qualité de membre</w:t>
      </w:r>
    </w:p>
    <w:p>
      <w:pPr>
        <w:spacing w:after="160" w:line="300"/>
        <w:jc w:val="both"/>
      </w:pPr>
      <w:r>
        <w:rPr>
          <w:rFonts w:ascii="Times New Roman" w:cs="Times New Roman" w:eastAsia="Times New Roman" w:hAnsi="Times New Roman"/>
          <w:sz w:val="22"/>
          <w:szCs w:val="22"/>
        </w:rPr>
        <w:t xml:space="preserve">La qualité de membre se perd par :</w:t>
      </w:r>
    </w:p>
    <w:p>
      <w:pPr>
        <w:pStyle w:val="ListParagraph"/>
        <w:numPr>
          <w:ilvl w:val="0"/>
          <w:numId w:val="2"/>
        </w:numPr>
        <w:spacing w:after="80"/>
      </w:pPr>
      <w:r>
        <w:rPr>
          <w:rFonts w:ascii="Times New Roman" w:cs="Times New Roman" w:eastAsia="Times New Roman" w:hAnsi="Times New Roman"/>
          <w:sz w:val="22"/>
          <w:szCs w:val="22"/>
        </w:rPr>
        <w:t xml:space="preserve">Démission adressée par écrit au Président ;</w:t>
      </w:r>
    </w:p>
    <w:p>
      <w:pPr>
        <w:pStyle w:val="ListParagraph"/>
        <w:numPr>
          <w:ilvl w:val="0"/>
          <w:numId w:val="2"/>
        </w:numPr>
        <w:spacing w:after="80"/>
      </w:pPr>
      <w:r>
        <w:rPr>
          <w:rFonts w:ascii="Times New Roman" w:cs="Times New Roman" w:eastAsia="Times New Roman" w:hAnsi="Times New Roman"/>
          <w:sz w:val="22"/>
          <w:szCs w:val="22"/>
        </w:rPr>
        <w:t xml:space="preserve">Décès, pour les personnes physiques, ou dissolution, pour les personnes morales ;</w:t>
      </w:r>
    </w:p>
    <w:p>
      <w:pPr>
        <w:pStyle w:val="ListParagraph"/>
        <w:numPr>
          <w:ilvl w:val="0"/>
          <w:numId w:val="2"/>
        </w:numPr>
        <w:spacing w:after="80"/>
      </w:pPr>
      <w:r>
        <w:rPr>
          <w:rFonts w:ascii="Times New Roman" w:cs="Times New Roman" w:eastAsia="Times New Roman" w:hAnsi="Times New Roman"/>
          <w:sz w:val="22"/>
          <w:szCs w:val="22"/>
        </w:rPr>
        <w:t xml:space="preserve">Radiation prononcée par le Bureau Exécutif pour non-paiement de cotisation ou pour motif grave (manquement aux statuts, atteinte à l'image de l'Association), le membre intéressé ayant été préalablement invité à fournir des explications ;</w:t>
      </w:r>
    </w:p>
    <w:p>
      <w:pPr>
        <w:pStyle w:val="ListParagraph"/>
        <w:numPr>
          <w:ilvl w:val="0"/>
          <w:numId w:val="2"/>
        </w:numPr>
        <w:spacing w:after="80"/>
      </w:pPr>
      <w:r>
        <w:rPr>
          <w:rFonts w:ascii="Times New Roman" w:cs="Times New Roman" w:eastAsia="Times New Roman" w:hAnsi="Times New Roman"/>
          <w:sz w:val="22"/>
          <w:szCs w:val="22"/>
        </w:rPr>
        <w:t xml:space="preserve">Décision de l'Assemblée Générale, dans les conditions prévues par le règlement intérieur.</w:t>
      </w:r>
    </w:p>
    <w:p>
      <w:r>
        <w:br w:type="page"/>
      </w:r>
    </w:p>
    <w:p>
      <w:pPr>
        <w:pStyle w:val="Heading1"/>
        <w:pBdr>
          <w:bottom w:val="single" w:color="6C5CE7" w:sz="8" w:space="4"/>
        </w:pBdr>
        <w:spacing w:after="200" w:before="480"/>
      </w:pPr>
      <w:r>
        <w:rPr>
          <w:rFonts w:ascii="Montserrat" w:cs="Montserrat" w:eastAsia="Montserrat" w:hAnsi="Montserrat"/>
          <w:b/>
          <w:bCs/>
          <w:color w:val="3B2BAA"/>
          <w:sz w:val="30"/>
          <w:szCs w:val="30"/>
        </w:rPr>
        <w:t xml:space="preserve">TITRE III — RESSOURCES DE L'ASSOCIATION</w:t>
      </w:r>
    </w:p>
    <w:p>
      <w:pPr>
        <w:spacing w:after="100" w:before="240"/>
      </w:pPr>
      <w:r>
        <w:rPr>
          <w:rFonts w:ascii="Times New Roman" w:cs="Times New Roman" w:eastAsia="Times New Roman" w:hAnsi="Times New Roman"/>
          <w:b/>
          <w:bCs/>
          <w:color w:val="0A0A0F"/>
          <w:sz w:val="22"/>
          <w:szCs w:val="22"/>
        </w:rPr>
        <w:t xml:space="preserve">Article 11 — </w:t>
      </w:r>
      <w:r>
        <w:rPr>
          <w:rFonts w:ascii="Times New Roman" w:cs="Times New Roman" w:eastAsia="Times New Roman" w:hAnsi="Times New Roman"/>
          <w:b/>
          <w:bCs/>
          <w:i/>
          <w:iCs/>
          <w:color w:val="0A0A0F"/>
          <w:sz w:val="22"/>
          <w:szCs w:val="22"/>
        </w:rPr>
        <w:t xml:space="preserve">Ressources</w:t>
      </w:r>
    </w:p>
    <w:p>
      <w:pPr>
        <w:spacing w:after="160" w:line="300"/>
        <w:jc w:val="both"/>
      </w:pPr>
      <w:r>
        <w:rPr>
          <w:rFonts w:ascii="Times New Roman" w:cs="Times New Roman" w:eastAsia="Times New Roman" w:hAnsi="Times New Roman"/>
          <w:sz w:val="22"/>
          <w:szCs w:val="22"/>
        </w:rPr>
        <w:t xml:space="preserve">Les ressources de l'Association se composent :</w:t>
      </w:r>
    </w:p>
    <w:p>
      <w:pPr>
        <w:pStyle w:val="ListParagraph"/>
        <w:numPr>
          <w:ilvl w:val="0"/>
          <w:numId w:val="2"/>
        </w:numPr>
        <w:spacing w:after="80"/>
      </w:pPr>
      <w:r>
        <w:rPr>
          <w:rFonts w:ascii="Times New Roman" w:cs="Times New Roman" w:eastAsia="Times New Roman" w:hAnsi="Times New Roman"/>
          <w:sz w:val="22"/>
          <w:szCs w:val="22"/>
        </w:rPr>
        <w:t xml:space="preserve">Des cotisations de ses membres, dont le montant est fixé par le règlement intérieur ;</w:t>
      </w:r>
    </w:p>
    <w:p>
      <w:pPr>
        <w:pStyle w:val="ListParagraph"/>
        <w:numPr>
          <w:ilvl w:val="0"/>
          <w:numId w:val="2"/>
        </w:numPr>
        <w:spacing w:after="80"/>
      </w:pPr>
      <w:r>
        <w:rPr>
          <w:rFonts w:ascii="Times New Roman" w:cs="Times New Roman" w:eastAsia="Times New Roman" w:hAnsi="Times New Roman"/>
          <w:sz w:val="22"/>
          <w:szCs w:val="22"/>
        </w:rPr>
        <w:t xml:space="preserve">Des subventions publiques ou privées qui pourraient lui être accordées ;</w:t>
      </w:r>
    </w:p>
    <w:p>
      <w:pPr>
        <w:pStyle w:val="ListParagraph"/>
        <w:numPr>
          <w:ilvl w:val="0"/>
          <w:numId w:val="2"/>
        </w:numPr>
        <w:spacing w:after="80"/>
      </w:pPr>
      <w:r>
        <w:rPr>
          <w:rFonts w:ascii="Times New Roman" w:cs="Times New Roman" w:eastAsia="Times New Roman" w:hAnsi="Times New Roman"/>
          <w:sz w:val="22"/>
          <w:szCs w:val="22"/>
        </w:rPr>
        <w:t xml:space="preserve">Des dons, legs et contributions de mécènes et partenaires ;</w:t>
      </w:r>
    </w:p>
    <w:p>
      <w:pPr>
        <w:pStyle w:val="ListParagraph"/>
        <w:numPr>
          <w:ilvl w:val="0"/>
          <w:numId w:val="2"/>
        </w:numPr>
        <w:spacing w:after="80"/>
      </w:pPr>
      <w:r>
        <w:rPr>
          <w:rFonts w:ascii="Times New Roman" w:cs="Times New Roman" w:eastAsia="Times New Roman" w:hAnsi="Times New Roman"/>
          <w:sz w:val="22"/>
          <w:szCs w:val="22"/>
        </w:rPr>
        <w:t xml:space="preserve">Des recettes issues de ses activités, projets et manifestations conformes à son objet ;</w:t>
      </w:r>
    </w:p>
    <w:p>
      <w:pPr>
        <w:pStyle w:val="ListParagraph"/>
        <w:numPr>
          <w:ilvl w:val="0"/>
          <w:numId w:val="2"/>
        </w:numPr>
        <w:spacing w:after="80"/>
      </w:pPr>
      <w:r>
        <w:rPr>
          <w:rFonts w:ascii="Times New Roman" w:cs="Times New Roman" w:eastAsia="Times New Roman" w:hAnsi="Times New Roman"/>
          <w:sz w:val="22"/>
          <w:szCs w:val="22"/>
        </w:rPr>
        <w:t xml:space="preserve">De toute autre ressource autorisée par les lois et règlements en vigueur en Côte d'Ivoire.</w:t>
      </w:r>
    </w:p>
    <w:p>
      <w:pPr>
        <w:spacing w:after="100" w:before="240"/>
      </w:pPr>
      <w:r>
        <w:rPr>
          <w:rFonts w:ascii="Times New Roman" w:cs="Times New Roman" w:eastAsia="Times New Roman" w:hAnsi="Times New Roman"/>
          <w:b/>
          <w:bCs/>
          <w:color w:val="0A0A0F"/>
          <w:sz w:val="22"/>
          <w:szCs w:val="22"/>
        </w:rPr>
        <w:t xml:space="preserve">Article 12 — </w:t>
      </w:r>
      <w:r>
        <w:rPr>
          <w:rFonts w:ascii="Times New Roman" w:cs="Times New Roman" w:eastAsia="Times New Roman" w:hAnsi="Times New Roman"/>
          <w:b/>
          <w:bCs/>
          <w:i/>
          <w:iCs/>
          <w:color w:val="0A0A0F"/>
          <w:sz w:val="22"/>
          <w:szCs w:val="22"/>
        </w:rPr>
        <w:t xml:space="preserve">Gestion financière</w:t>
      </w:r>
    </w:p>
    <w:p>
      <w:pPr>
        <w:spacing w:after="160" w:line="300"/>
        <w:jc w:val="both"/>
      </w:pPr>
      <w:r>
        <w:rPr>
          <w:rFonts w:ascii="Times New Roman" w:cs="Times New Roman" w:eastAsia="Times New Roman" w:hAnsi="Times New Roman"/>
          <w:sz w:val="22"/>
          <w:szCs w:val="22"/>
        </w:rPr>
        <w:t xml:space="preserve">La gestion financière de l'Association relève du Trésorier Général, sous le contrôle du Bureau Exécutif et de l'Assemblée Générale, dans les conditions précisées par le règlement intérieur.</w:t>
      </w:r>
    </w:p>
    <w:p>
      <w:r>
        <w:br w:type="page"/>
      </w:r>
    </w:p>
    <w:p>
      <w:pPr>
        <w:pStyle w:val="Heading1"/>
        <w:pBdr>
          <w:bottom w:val="single" w:color="6C5CE7" w:sz="8" w:space="4"/>
        </w:pBdr>
        <w:spacing w:after="200" w:before="480"/>
      </w:pPr>
      <w:r>
        <w:rPr>
          <w:rFonts w:ascii="Montserrat" w:cs="Montserrat" w:eastAsia="Montserrat" w:hAnsi="Montserrat"/>
          <w:b/>
          <w:bCs/>
          <w:color w:val="3B2BAA"/>
          <w:sz w:val="30"/>
          <w:szCs w:val="30"/>
        </w:rPr>
        <w:t xml:space="preserve">TITRE IV — ADMINISTRATION ET FONCTIONNEMENT</w:t>
      </w:r>
    </w:p>
    <w:p>
      <w:pPr>
        <w:pStyle w:val="Heading2"/>
        <w:spacing w:after="120" w:before="300"/>
      </w:pPr>
      <w:r>
        <w:rPr>
          <w:rFonts w:ascii="Montserrat" w:cs="Montserrat" w:eastAsia="Montserrat" w:hAnsi="Montserrat"/>
          <w:b/>
          <w:bCs/>
          <w:color w:val="6C5CE7"/>
          <w:sz w:val="24"/>
          <w:szCs w:val="24"/>
        </w:rPr>
        <w:t xml:space="preserve">Chapitre 1 — L'Assemblée Générale</w:t>
      </w:r>
    </w:p>
    <w:p>
      <w:pPr>
        <w:spacing w:after="100" w:before="240"/>
      </w:pPr>
      <w:r>
        <w:rPr>
          <w:rFonts w:ascii="Times New Roman" w:cs="Times New Roman" w:eastAsia="Times New Roman" w:hAnsi="Times New Roman"/>
          <w:b/>
          <w:bCs/>
          <w:color w:val="0A0A0F"/>
          <w:sz w:val="22"/>
          <w:szCs w:val="22"/>
        </w:rPr>
        <w:t xml:space="preserve">Article 13 — </w:t>
      </w:r>
      <w:r>
        <w:rPr>
          <w:rFonts w:ascii="Times New Roman" w:cs="Times New Roman" w:eastAsia="Times New Roman" w:hAnsi="Times New Roman"/>
          <w:b/>
          <w:bCs/>
          <w:i/>
          <w:iCs/>
          <w:color w:val="0A0A0F"/>
          <w:sz w:val="22"/>
          <w:szCs w:val="22"/>
        </w:rPr>
        <w:t xml:space="preserve">Composition</w:t>
      </w:r>
    </w:p>
    <w:p>
      <w:pPr>
        <w:spacing w:after="160" w:line="300"/>
        <w:jc w:val="both"/>
      </w:pPr>
      <w:r>
        <w:rPr>
          <w:rFonts w:ascii="Times New Roman" w:cs="Times New Roman" w:eastAsia="Times New Roman" w:hAnsi="Times New Roman"/>
          <w:sz w:val="22"/>
          <w:szCs w:val="22"/>
        </w:rPr>
        <w:t xml:space="preserve">L'Assemblée Générale se compose de l'ensemble des membres fondateurs, actifs et d'honneur de l'Association, à jour de leurs cotisations. Chaque membre dispose d'une voix. Les membres partenaires peuvent y assister à titre consultatif, sans droit de vote.</w:t>
      </w:r>
    </w:p>
    <w:p>
      <w:pPr>
        <w:spacing w:after="100" w:before="240"/>
      </w:pPr>
      <w:r>
        <w:rPr>
          <w:rFonts w:ascii="Times New Roman" w:cs="Times New Roman" w:eastAsia="Times New Roman" w:hAnsi="Times New Roman"/>
          <w:b/>
          <w:bCs/>
          <w:color w:val="0A0A0F"/>
          <w:sz w:val="22"/>
          <w:szCs w:val="22"/>
        </w:rPr>
        <w:t xml:space="preserve">Article 14 — </w:t>
      </w:r>
      <w:r>
        <w:rPr>
          <w:rFonts w:ascii="Times New Roman" w:cs="Times New Roman" w:eastAsia="Times New Roman" w:hAnsi="Times New Roman"/>
          <w:b/>
          <w:bCs/>
          <w:i/>
          <w:iCs/>
          <w:color w:val="0A0A0F"/>
          <w:sz w:val="22"/>
          <w:szCs w:val="22"/>
        </w:rPr>
        <w:t xml:space="preserve">Assemblée Générale Ordinaire</w:t>
      </w:r>
    </w:p>
    <w:p>
      <w:pPr>
        <w:spacing w:after="160" w:line="300"/>
        <w:jc w:val="both"/>
      </w:pPr>
      <w:r>
        <w:rPr>
          <w:rFonts w:ascii="Times New Roman" w:cs="Times New Roman" w:eastAsia="Times New Roman" w:hAnsi="Times New Roman"/>
          <w:sz w:val="22"/>
          <w:szCs w:val="22"/>
        </w:rPr>
        <w:t xml:space="preserve">L'Assemblée Générale Ordinaire se réunit au moins une fois par an, sur convocation du Président ou, à défaut, du Bureau Exécutif. Elle entend les rapports moral et financier, approuve les comptes, se prononce sur les orientations de l'Association et procède, le cas échéant, au renouvellement des membres du Bureau Exécutif.</w:t>
      </w:r>
    </w:p>
    <w:p>
      <w:pPr>
        <w:spacing w:after="100" w:before="240"/>
      </w:pPr>
      <w:r>
        <w:rPr>
          <w:rFonts w:ascii="Times New Roman" w:cs="Times New Roman" w:eastAsia="Times New Roman" w:hAnsi="Times New Roman"/>
          <w:b/>
          <w:bCs/>
          <w:color w:val="0A0A0F"/>
          <w:sz w:val="22"/>
          <w:szCs w:val="22"/>
        </w:rPr>
        <w:t xml:space="preserve">Article 15 — </w:t>
      </w:r>
      <w:r>
        <w:rPr>
          <w:rFonts w:ascii="Times New Roman" w:cs="Times New Roman" w:eastAsia="Times New Roman" w:hAnsi="Times New Roman"/>
          <w:b/>
          <w:bCs/>
          <w:i/>
          <w:iCs/>
          <w:color w:val="0A0A0F"/>
          <w:sz w:val="22"/>
          <w:szCs w:val="22"/>
        </w:rPr>
        <w:t xml:space="preserve">Assemblée Générale Extraordinaire</w:t>
      </w:r>
    </w:p>
    <w:p>
      <w:pPr>
        <w:spacing w:after="160" w:line="300"/>
        <w:jc w:val="both"/>
      </w:pPr>
      <w:r>
        <w:rPr>
          <w:rFonts w:ascii="Times New Roman" w:cs="Times New Roman" w:eastAsia="Times New Roman" w:hAnsi="Times New Roman"/>
          <w:sz w:val="22"/>
          <w:szCs w:val="22"/>
        </w:rPr>
        <w:t xml:space="preserve">Une Assemblée Générale Extraordinaire peut être convoquée par le Président, par le Bureau Exécutif, ou à la demande d'au moins un tiers des membres actifs, pour statuer sur toute question urgente ou sur la modification des statuts et la dissolution de l'Association.</w:t>
      </w:r>
    </w:p>
    <w:p>
      <w:pPr>
        <w:spacing w:after="100" w:before="240"/>
      </w:pPr>
      <w:r>
        <w:rPr>
          <w:rFonts w:ascii="Times New Roman" w:cs="Times New Roman" w:eastAsia="Times New Roman" w:hAnsi="Times New Roman"/>
          <w:b/>
          <w:bCs/>
          <w:color w:val="0A0A0F"/>
          <w:sz w:val="22"/>
          <w:szCs w:val="22"/>
        </w:rPr>
        <w:t xml:space="preserve">Article 16 — </w:t>
      </w:r>
      <w:r>
        <w:rPr>
          <w:rFonts w:ascii="Times New Roman" w:cs="Times New Roman" w:eastAsia="Times New Roman" w:hAnsi="Times New Roman"/>
          <w:b/>
          <w:bCs/>
          <w:i/>
          <w:iCs/>
          <w:color w:val="0A0A0F"/>
          <w:sz w:val="22"/>
          <w:szCs w:val="22"/>
        </w:rPr>
        <w:t xml:space="preserve">Convocation et délibérations</w:t>
      </w:r>
    </w:p>
    <w:p>
      <w:pPr>
        <w:spacing w:after="160" w:line="300"/>
        <w:jc w:val="both"/>
      </w:pPr>
      <w:r>
        <w:rPr>
          <w:rFonts w:ascii="Times New Roman" w:cs="Times New Roman" w:eastAsia="Times New Roman" w:hAnsi="Times New Roman"/>
          <w:sz w:val="22"/>
          <w:szCs w:val="22"/>
        </w:rPr>
        <w:t xml:space="preserve">Les convocations sont adressées par tout moyen laissant trace écrite (courrier, courriel, message électronique) au moins quinze jours avant la date de la réunion, accompagnées de l'ordre du jour. Les décisions sont prises à la majorité simple des membres présents ou représentés, sauf dispositions contraires prévues pour la modification des statuts et la dissolution.</w:t>
      </w:r>
    </w:p>
    <w:p>
      <w:pPr>
        <w:pStyle w:val="Heading2"/>
        <w:spacing w:after="120" w:before="300"/>
      </w:pPr>
      <w:r>
        <w:rPr>
          <w:rFonts w:ascii="Montserrat" w:cs="Montserrat" w:eastAsia="Montserrat" w:hAnsi="Montserrat"/>
          <w:b/>
          <w:bCs/>
          <w:color w:val="6C5CE7"/>
          <w:sz w:val="24"/>
          <w:szCs w:val="24"/>
        </w:rPr>
        <w:t xml:space="preserve">Chapitre 2 — Le Conseil d'Administration</w:t>
      </w:r>
    </w:p>
    <w:p>
      <w:pPr>
        <w:spacing w:after="100" w:before="240"/>
      </w:pPr>
      <w:r>
        <w:rPr>
          <w:rFonts w:ascii="Times New Roman" w:cs="Times New Roman" w:eastAsia="Times New Roman" w:hAnsi="Times New Roman"/>
          <w:b/>
          <w:bCs/>
          <w:color w:val="0A0A0F"/>
          <w:sz w:val="22"/>
          <w:szCs w:val="22"/>
        </w:rPr>
        <w:t xml:space="preserve">Article 17 — </w:t>
      </w:r>
      <w:r>
        <w:rPr>
          <w:rFonts w:ascii="Times New Roman" w:cs="Times New Roman" w:eastAsia="Times New Roman" w:hAnsi="Times New Roman"/>
          <w:b/>
          <w:bCs/>
          <w:i/>
          <w:iCs/>
          <w:color w:val="0A0A0F"/>
          <w:sz w:val="22"/>
          <w:szCs w:val="22"/>
        </w:rPr>
        <w:t xml:space="preserve">Composition et rôle</w:t>
      </w:r>
    </w:p>
    <w:p>
      <w:pPr>
        <w:spacing w:after="160" w:line="300"/>
        <w:jc w:val="both"/>
      </w:pPr>
      <w:r>
        <w:rPr>
          <w:rFonts w:ascii="Times New Roman" w:cs="Times New Roman" w:eastAsia="Times New Roman" w:hAnsi="Times New Roman"/>
          <w:sz w:val="22"/>
          <w:szCs w:val="22"/>
        </w:rPr>
        <w:t xml:space="preserve">Le Conseil d'Administration est composé des membres du Bureau Exécutif et de tout membre actif coopté pour ses compétences. Il oriente et supervise l'action de l'Association entre deux Assemblées Générales, et rend compte de sa gestion à l'Assemblée Générale.</w:t>
      </w:r>
    </w:p>
    <w:p>
      <w:pPr>
        <w:spacing w:after="100" w:before="240"/>
      </w:pPr>
      <w:r>
        <w:rPr>
          <w:rFonts w:ascii="Times New Roman" w:cs="Times New Roman" w:eastAsia="Times New Roman" w:hAnsi="Times New Roman"/>
          <w:b/>
          <w:bCs/>
          <w:color w:val="0A0A0F"/>
          <w:sz w:val="22"/>
          <w:szCs w:val="22"/>
        </w:rPr>
        <w:t xml:space="preserve">Article 18 — </w:t>
      </w:r>
      <w:r>
        <w:rPr>
          <w:rFonts w:ascii="Times New Roman" w:cs="Times New Roman" w:eastAsia="Times New Roman" w:hAnsi="Times New Roman"/>
          <w:b/>
          <w:bCs/>
          <w:i/>
          <w:iCs/>
          <w:color w:val="0A0A0F"/>
          <w:sz w:val="22"/>
          <w:szCs w:val="22"/>
        </w:rPr>
        <w:t xml:space="preserve">Réunions</w:t>
      </w:r>
    </w:p>
    <w:p>
      <w:pPr>
        <w:spacing w:after="160" w:line="300"/>
        <w:jc w:val="both"/>
      </w:pPr>
      <w:r>
        <w:rPr>
          <w:rFonts w:ascii="Times New Roman" w:cs="Times New Roman" w:eastAsia="Times New Roman" w:hAnsi="Times New Roman"/>
          <w:sz w:val="22"/>
          <w:szCs w:val="22"/>
        </w:rPr>
        <w:t xml:space="preserve">Le Conseil d'Administration se réunit au moins une fois par trimestre, sur convocation du Président, ou à la demande de la moitié de ses membres.</w:t>
      </w:r>
    </w:p>
    <w:p>
      <w:pPr>
        <w:pStyle w:val="Heading2"/>
        <w:spacing w:after="120" w:before="300"/>
      </w:pPr>
      <w:r>
        <w:rPr>
          <w:rFonts w:ascii="Montserrat" w:cs="Montserrat" w:eastAsia="Montserrat" w:hAnsi="Montserrat"/>
          <w:b/>
          <w:bCs/>
          <w:color w:val="6C5CE7"/>
          <w:sz w:val="24"/>
          <w:szCs w:val="24"/>
        </w:rPr>
        <w:t xml:space="preserve">Chapitre 3 — Le Bureau Exécutif</w:t>
      </w:r>
    </w:p>
    <w:p>
      <w:pPr>
        <w:spacing w:after="100" w:before="240"/>
      </w:pPr>
      <w:r>
        <w:rPr>
          <w:rFonts w:ascii="Times New Roman" w:cs="Times New Roman" w:eastAsia="Times New Roman" w:hAnsi="Times New Roman"/>
          <w:b/>
          <w:bCs/>
          <w:color w:val="0A0A0F"/>
          <w:sz w:val="22"/>
          <w:szCs w:val="22"/>
        </w:rPr>
        <w:t xml:space="preserve">Article 19 — </w:t>
      </w:r>
      <w:r>
        <w:rPr>
          <w:rFonts w:ascii="Times New Roman" w:cs="Times New Roman" w:eastAsia="Times New Roman" w:hAnsi="Times New Roman"/>
          <w:b/>
          <w:bCs/>
          <w:i/>
          <w:iCs/>
          <w:color w:val="0A0A0F"/>
          <w:sz w:val="22"/>
          <w:szCs w:val="22"/>
        </w:rPr>
        <w:t xml:space="preserve">Composition du Bureau Exécutif</w:t>
      </w:r>
    </w:p>
    <w:p>
      <w:pPr>
        <w:spacing w:after="160" w:line="300"/>
        <w:jc w:val="both"/>
      </w:pPr>
      <w:r>
        <w:rPr>
          <w:rFonts w:ascii="Times New Roman" w:cs="Times New Roman" w:eastAsia="Times New Roman" w:hAnsi="Times New Roman"/>
          <w:sz w:val="22"/>
          <w:szCs w:val="22"/>
        </w:rPr>
        <w:t xml:space="preserve">Le Bureau Exécutif assure la gestion courante de l'Association. Il est composé, à titre fondateur, des membres et postes suivants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40"/>
      </w:tblGrid>
      <w:tr>
        <w:tc>
          <w:tcPr>
            <w:tcW w:type="pct" w:w="33%"/>
            <w:shd w:fill="6C5CE7" w:val="clear"/>
            <w:tcMar>
              <w:top w:type="dxa" w:w="100"/>
              <w:left w:type="dxa" w:w="120"/>
              <w:bottom w:type="dxa" w:w="100"/>
              <w:right w:type="dxa" w:w="120"/>
            </w:tcMar>
            <w:vAlign w:val="center"/>
          </w:tcPr>
          <w:p>
            <w:r>
              <w:rPr>
                <w:rFonts w:ascii="Montserrat" w:cs="Montserrat" w:eastAsia="Montserrat" w:hAnsi="Montserrat"/>
                <w:b/>
                <w:bCs/>
                <w:color w:val="FFFFFF"/>
                <w:sz w:val="20"/>
                <w:szCs w:val="20"/>
              </w:rPr>
              <w:t xml:space="preserve">Poste</w:t>
            </w:r>
          </w:p>
        </w:tc>
        <w:tc>
          <w:tcPr>
            <w:tcW w:type="pct" w:w="33%"/>
            <w:shd w:fill="6C5CE7" w:val="clear"/>
            <w:tcMar>
              <w:top w:type="dxa" w:w="100"/>
              <w:left w:type="dxa" w:w="120"/>
              <w:bottom w:type="dxa" w:w="100"/>
              <w:right w:type="dxa" w:w="120"/>
            </w:tcMar>
            <w:vAlign w:val="center"/>
          </w:tcPr>
          <w:p>
            <w:r>
              <w:rPr>
                <w:rFonts w:ascii="Montserrat" w:cs="Montserrat" w:eastAsia="Montserrat" w:hAnsi="Montserrat"/>
                <w:b/>
                <w:bCs/>
                <w:color w:val="FFFFFF"/>
                <w:sz w:val="20"/>
                <w:szCs w:val="20"/>
              </w:rPr>
              <w:t xml:space="preserve">Titulaire</w:t>
            </w:r>
          </w:p>
        </w:tc>
        <w:tc>
          <w:tcPr>
            <w:tcW w:type="pct" w:w="33%"/>
            <w:shd w:fill="6C5CE7" w:val="clear"/>
            <w:tcMar>
              <w:top w:type="dxa" w:w="100"/>
              <w:left w:type="dxa" w:w="120"/>
              <w:bottom w:type="dxa" w:w="100"/>
              <w:right w:type="dxa" w:w="120"/>
            </w:tcMar>
            <w:vAlign w:val="center"/>
          </w:tcPr>
          <w:p>
            <w:r>
              <w:rPr>
                <w:rFonts w:ascii="Montserrat" w:cs="Montserrat" w:eastAsia="Montserrat" w:hAnsi="Montserrat"/>
                <w:b/>
                <w:bCs/>
                <w:color w:val="FFFFFF"/>
                <w:sz w:val="20"/>
                <w:szCs w:val="20"/>
              </w:rPr>
              <w:t xml:space="preserve">Domaine de responsabilité</w:t>
            </w:r>
          </w:p>
        </w:tc>
      </w:tr>
      <w:tr>
        <w:tc>
          <w:tcPr>
            <w:tcW w:type="pct" w:w="33%"/>
            <w:shd w:fill="F1F0FB"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Président Fondateur</w:t>
            </w:r>
          </w:p>
        </w:tc>
        <w:tc>
          <w:tcPr>
            <w:tcW w:type="pct" w:w="33%"/>
            <w:shd w:fill="F1F0FB" w:val="clear"/>
            <w:tcMar>
              <w:top w:type="dxa" w:w="100"/>
              <w:left w:type="dxa" w:w="120"/>
              <w:bottom w:type="dxa" w:w="100"/>
              <w:right w:type="dxa" w:w="120"/>
            </w:tcMar>
            <w:vAlign w:val="center"/>
          </w:tcPr>
          <w:p>
            <w:r>
              <w:rPr>
                <w:rFonts w:ascii="Times New Roman" w:cs="Times New Roman" w:eastAsia="Times New Roman" w:hAnsi="Times New Roman"/>
                <w:b w:val="false"/>
                <w:bCs w:val="false"/>
                <w:sz w:val="20"/>
                <w:szCs w:val="20"/>
              </w:rPr>
              <w:t xml:space="preserve">KONE Idrisse Junior</w:t>
            </w:r>
          </w:p>
        </w:tc>
        <w:tc>
          <w:tcPr>
            <w:tcW w:type="pct" w:w="33%"/>
            <w:shd w:fill="F1F0FB" w:val="clear"/>
            <w:tcMar>
              <w:top w:type="dxa" w:w="100"/>
              <w:left w:type="dxa" w:w="120"/>
              <w:bottom w:type="dxa" w:w="100"/>
              <w:right w:type="dxa" w:w="120"/>
            </w:tcMar>
            <w:vAlign w:val="center"/>
          </w:tcPr>
          <w:p>
            <w:r>
              <w:rPr>
                <w:rFonts w:ascii="Times New Roman" w:cs="Times New Roman" w:eastAsia="Times New Roman" w:hAnsi="Times New Roman"/>
                <w:b w:val="false"/>
                <w:bCs w:val="false"/>
                <w:sz w:val="20"/>
                <w:szCs w:val="20"/>
              </w:rPr>
              <w:t xml:space="preserve">Représentation, direction générale, stratégie</w:t>
            </w:r>
          </w:p>
        </w:tc>
      </w:tr>
      <w:tr>
        <w:tc>
          <w:tcPr>
            <w:tcW w:type="pct" w:w="33%"/>
            <w:shd w:fill="FFFFFF"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Responsable des Technologies de l'Information</w:t>
            </w:r>
          </w:p>
        </w:tc>
        <w:tc>
          <w:tcPr>
            <w:tcW w:type="pct" w:w="33%"/>
            <w:shd w:fill="FFFFFF" w:val="clear"/>
            <w:tcMar>
              <w:top w:type="dxa" w:w="100"/>
              <w:left w:type="dxa" w:w="120"/>
              <w:bottom w:type="dxa" w:w="100"/>
              <w:right w:type="dxa" w:w="120"/>
            </w:tcMar>
            <w:vAlign w:val="center"/>
          </w:tcPr>
          <w:p>
            <w:r>
              <w:rPr>
                <w:rFonts w:ascii="Times New Roman" w:cs="Times New Roman" w:eastAsia="Times New Roman" w:hAnsi="Times New Roman"/>
                <w:b w:val="false"/>
                <w:bCs w:val="false"/>
                <w:sz w:val="20"/>
                <w:szCs w:val="20"/>
              </w:rPr>
              <w:t xml:space="preserve">BAMBA Mohamed</w:t>
            </w:r>
          </w:p>
        </w:tc>
        <w:tc>
          <w:tcPr>
            <w:tcW w:type="pct" w:w="33%"/>
            <w:shd w:fill="FFFFFF" w:val="clear"/>
            <w:tcMar>
              <w:top w:type="dxa" w:w="100"/>
              <w:left w:type="dxa" w:w="120"/>
              <w:bottom w:type="dxa" w:w="100"/>
              <w:right w:type="dxa" w:w="120"/>
            </w:tcMar>
            <w:vAlign w:val="center"/>
          </w:tcPr>
          <w:p>
            <w:r>
              <w:rPr>
                <w:rFonts w:ascii="Times New Roman" w:cs="Times New Roman" w:eastAsia="Times New Roman" w:hAnsi="Times New Roman"/>
                <w:b w:val="false"/>
                <w:bCs w:val="false"/>
                <w:sz w:val="20"/>
                <w:szCs w:val="20"/>
              </w:rPr>
              <w:t xml:space="preserve">Systèmes numériques, plateformes, cybersécurité</w:t>
            </w:r>
          </w:p>
        </w:tc>
      </w:tr>
      <w:tr>
        <w:tc>
          <w:tcPr>
            <w:tcW w:type="pct" w:w="33%"/>
            <w:shd w:fill="F1F0FB"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Responsable Communication &amp; Design</w:t>
            </w:r>
          </w:p>
        </w:tc>
        <w:tc>
          <w:tcPr>
            <w:tcW w:type="pct" w:w="33%"/>
            <w:shd w:fill="F1F0FB" w:val="clear"/>
            <w:tcMar>
              <w:top w:type="dxa" w:w="100"/>
              <w:left w:type="dxa" w:w="120"/>
              <w:bottom w:type="dxa" w:w="100"/>
              <w:right w:type="dxa" w:w="120"/>
            </w:tcMar>
            <w:vAlign w:val="center"/>
          </w:tcPr>
          <w:p>
            <w:r>
              <w:rPr>
                <w:rFonts w:ascii="Times New Roman" w:cs="Times New Roman" w:eastAsia="Times New Roman" w:hAnsi="Times New Roman"/>
                <w:b w:val="false"/>
                <w:bCs w:val="false"/>
                <w:sz w:val="20"/>
                <w:szCs w:val="20"/>
              </w:rPr>
              <w:t xml:space="preserve">Marc Antoine DA</w:t>
            </w:r>
          </w:p>
        </w:tc>
        <w:tc>
          <w:tcPr>
            <w:tcW w:type="pct" w:w="33%"/>
            <w:shd w:fill="F1F0FB" w:val="clear"/>
            <w:tcMar>
              <w:top w:type="dxa" w:w="100"/>
              <w:left w:type="dxa" w:w="120"/>
              <w:bottom w:type="dxa" w:w="100"/>
              <w:right w:type="dxa" w:w="120"/>
            </w:tcMar>
            <w:vAlign w:val="center"/>
          </w:tcPr>
          <w:p>
            <w:r>
              <w:rPr>
                <w:rFonts w:ascii="Times New Roman" w:cs="Times New Roman" w:eastAsia="Times New Roman" w:hAnsi="Times New Roman"/>
                <w:b w:val="false"/>
                <w:bCs w:val="false"/>
                <w:sz w:val="20"/>
                <w:szCs w:val="20"/>
              </w:rPr>
              <w:t xml:space="preserve">Identité visuelle, communication, image de marque</w:t>
            </w:r>
          </w:p>
        </w:tc>
      </w:tr>
      <w:tr>
        <w:tc>
          <w:tcPr>
            <w:tcW w:type="pct" w:w="33%"/>
            <w:shd w:fill="FFFFFF" w:val="clear"/>
            <w:tcMar>
              <w:top w:type="dxa" w:w="100"/>
              <w:left w:type="dxa" w:w="120"/>
              <w:bottom w:type="dxa" w:w="100"/>
              <w:right w:type="dxa" w:w="120"/>
            </w:tcMar>
            <w:vAlign w:val="center"/>
          </w:tcPr>
          <w:p>
            <w:r>
              <w:rPr>
                <w:rFonts w:ascii="Times New Roman" w:cs="Times New Roman" w:eastAsia="Times New Roman" w:hAnsi="Times New Roman"/>
                <w:b/>
                <w:bCs/>
                <w:sz w:val="20"/>
                <w:szCs w:val="20"/>
              </w:rPr>
              <w:t xml:space="preserve">Trésorier Général</w:t>
            </w:r>
          </w:p>
        </w:tc>
        <w:tc>
          <w:tcPr>
            <w:tcW w:type="pct" w:w="33%"/>
            <w:shd w:fill="FFFFFF" w:val="clear"/>
            <w:tcMar>
              <w:top w:type="dxa" w:w="100"/>
              <w:left w:type="dxa" w:w="120"/>
              <w:bottom w:type="dxa" w:w="100"/>
              <w:right w:type="dxa" w:w="120"/>
            </w:tcMar>
            <w:vAlign w:val="center"/>
          </w:tcPr>
          <w:p>
            <w:r>
              <w:rPr>
                <w:rFonts w:ascii="Times New Roman" w:cs="Times New Roman" w:eastAsia="Times New Roman" w:hAnsi="Times New Roman"/>
                <w:b w:val="false"/>
                <w:bCs w:val="false"/>
                <w:sz w:val="20"/>
                <w:szCs w:val="20"/>
              </w:rPr>
              <w:t xml:space="preserve">Hassan DIARRASSOUBA</w:t>
            </w:r>
          </w:p>
        </w:tc>
        <w:tc>
          <w:tcPr>
            <w:tcW w:type="pct" w:w="33%"/>
            <w:shd w:fill="FFFFFF" w:val="clear"/>
            <w:tcMar>
              <w:top w:type="dxa" w:w="100"/>
              <w:left w:type="dxa" w:w="120"/>
              <w:bottom w:type="dxa" w:w="100"/>
              <w:right w:type="dxa" w:w="120"/>
            </w:tcMar>
            <w:vAlign w:val="center"/>
          </w:tcPr>
          <w:p>
            <w:r>
              <w:rPr>
                <w:rFonts w:ascii="Times New Roman" w:cs="Times New Roman" w:eastAsia="Times New Roman" w:hAnsi="Times New Roman"/>
                <w:b w:val="false"/>
                <w:bCs w:val="false"/>
                <w:sz w:val="20"/>
                <w:szCs w:val="20"/>
              </w:rPr>
              <w:t xml:space="preserve">Finances, comptabilité, ressources</w:t>
            </w:r>
          </w:p>
        </w:tc>
      </w:tr>
    </w:tbl>
    <w:p>
      <w:pPr>
        <w:spacing w:before="240"/>
      </w:pPr>
    </w:p>
    <w:p>
      <w:pPr>
        <w:spacing w:after="100" w:before="240"/>
      </w:pPr>
      <w:r>
        <w:rPr>
          <w:rFonts w:ascii="Times New Roman" w:cs="Times New Roman" w:eastAsia="Times New Roman" w:hAnsi="Times New Roman"/>
          <w:b/>
          <w:bCs/>
          <w:color w:val="0A0A0F"/>
          <w:sz w:val="22"/>
          <w:szCs w:val="22"/>
        </w:rPr>
        <w:t xml:space="preserve">Article 20 — </w:t>
      </w:r>
      <w:r>
        <w:rPr>
          <w:rFonts w:ascii="Times New Roman" w:cs="Times New Roman" w:eastAsia="Times New Roman" w:hAnsi="Times New Roman"/>
          <w:b/>
          <w:bCs/>
          <w:i/>
          <w:iCs/>
          <w:color w:val="0A0A0F"/>
          <w:sz w:val="22"/>
          <w:szCs w:val="22"/>
        </w:rPr>
        <w:t xml:space="preserve">Attributions du Président</w:t>
      </w:r>
    </w:p>
    <w:p>
      <w:pPr>
        <w:spacing w:after="160" w:line="300"/>
        <w:jc w:val="both"/>
      </w:pPr>
      <w:r>
        <w:rPr>
          <w:rFonts w:ascii="Times New Roman" w:cs="Times New Roman" w:eastAsia="Times New Roman" w:hAnsi="Times New Roman"/>
          <w:sz w:val="22"/>
          <w:szCs w:val="22"/>
        </w:rPr>
        <w:t xml:space="preserve">Le Président Fondateur, KONE Idrisse Junior, est le représentant légal de l'Association. À ce titre, il :</w:t>
      </w:r>
    </w:p>
    <w:p>
      <w:pPr>
        <w:pStyle w:val="ListParagraph"/>
        <w:numPr>
          <w:ilvl w:val="0"/>
          <w:numId w:val="2"/>
        </w:numPr>
        <w:spacing w:after="80"/>
      </w:pPr>
      <w:r>
        <w:rPr>
          <w:rFonts w:ascii="Times New Roman" w:cs="Times New Roman" w:eastAsia="Times New Roman" w:hAnsi="Times New Roman"/>
          <w:sz w:val="22"/>
          <w:szCs w:val="22"/>
        </w:rPr>
        <w:t xml:space="preserve">Représente l'Association dans tous les actes de la vie civile et en justice ;</w:t>
      </w:r>
    </w:p>
    <w:p>
      <w:pPr>
        <w:pStyle w:val="ListParagraph"/>
        <w:numPr>
          <w:ilvl w:val="0"/>
          <w:numId w:val="2"/>
        </w:numPr>
        <w:spacing w:after="80"/>
      </w:pPr>
      <w:r>
        <w:rPr>
          <w:rFonts w:ascii="Times New Roman" w:cs="Times New Roman" w:eastAsia="Times New Roman" w:hAnsi="Times New Roman"/>
          <w:sz w:val="22"/>
          <w:szCs w:val="22"/>
        </w:rPr>
        <w:t xml:space="preserve">Préside les Assemblées Générales, le Conseil d'Administration et le Bureau Exécutif ;</w:t>
      </w:r>
    </w:p>
    <w:p>
      <w:pPr>
        <w:pStyle w:val="ListParagraph"/>
        <w:numPr>
          <w:ilvl w:val="0"/>
          <w:numId w:val="2"/>
        </w:numPr>
        <w:spacing w:after="80"/>
      </w:pPr>
      <w:r>
        <w:rPr>
          <w:rFonts w:ascii="Times New Roman" w:cs="Times New Roman" w:eastAsia="Times New Roman" w:hAnsi="Times New Roman"/>
          <w:sz w:val="22"/>
          <w:szCs w:val="22"/>
        </w:rPr>
        <w:t xml:space="preserve">Signe, conjointement avec le Trésorier Général, tout acte engageant financièrement l'Association ;</w:t>
      </w:r>
    </w:p>
    <w:p>
      <w:pPr>
        <w:pStyle w:val="ListParagraph"/>
        <w:numPr>
          <w:ilvl w:val="0"/>
          <w:numId w:val="2"/>
        </w:numPr>
        <w:spacing w:after="80"/>
      </w:pPr>
      <w:r>
        <w:rPr>
          <w:rFonts w:ascii="Times New Roman" w:cs="Times New Roman" w:eastAsia="Times New Roman" w:hAnsi="Times New Roman"/>
          <w:sz w:val="22"/>
          <w:szCs w:val="22"/>
        </w:rPr>
        <w:t xml:space="preserve">Veille à l'exécution des décisions des instances de l'Association et au respect des présents statuts ;</w:t>
      </w:r>
    </w:p>
    <w:p>
      <w:pPr>
        <w:pStyle w:val="ListParagraph"/>
        <w:numPr>
          <w:ilvl w:val="0"/>
          <w:numId w:val="2"/>
        </w:numPr>
        <w:spacing w:after="80"/>
      </w:pPr>
      <w:r>
        <w:rPr>
          <w:rFonts w:ascii="Times New Roman" w:cs="Times New Roman" w:eastAsia="Times New Roman" w:hAnsi="Times New Roman"/>
          <w:sz w:val="22"/>
          <w:szCs w:val="22"/>
        </w:rPr>
        <w:t xml:space="preserve">Peut déléguer, par écrit, une partie de ses attributions à un autre membre du Bureau Exécutif.</w:t>
      </w:r>
    </w:p>
    <w:p>
      <w:pPr>
        <w:pStyle w:val="Heading2"/>
        <w:spacing w:after="120" w:before="300"/>
      </w:pPr>
      <w:r>
        <w:rPr>
          <w:rFonts w:ascii="Montserrat" w:cs="Montserrat" w:eastAsia="Montserrat" w:hAnsi="Montserrat"/>
          <w:b/>
          <w:bCs/>
          <w:color w:val="6C5CE7"/>
          <w:sz w:val="24"/>
          <w:szCs w:val="24"/>
        </w:rPr>
        <w:t xml:space="preserve">Statut particulier du Président Fondateur</w:t>
      </w:r>
    </w:p>
    <w:p>
      <w:pPr>
        <w:spacing w:after="160" w:line="300"/>
        <w:jc w:val="both"/>
      </w:pPr>
      <w:r>
        <w:rPr>
          <w:rFonts w:ascii="Times New Roman" w:cs="Times New Roman" w:eastAsia="Times New Roman" w:hAnsi="Times New Roman"/>
          <w:sz w:val="22"/>
          <w:szCs w:val="22"/>
        </w:rPr>
        <w:t xml:space="preserve">Les articles suivants précisent le statut spécifique reconnu à KONE Idrisse Junior en sa qualité de Fondateur Statutaire de l'Association, ainsi que les prérogatives particulières qui y sont attachées. Ces dispositions sont portées à la connaissance de l'ensemble des membres fondateurs et actifs, qui les acceptent expressément par leur adhésion aux présents statuts.</w:t>
      </w:r>
    </w:p>
    <w:p>
      <w:pPr>
        <w:spacing w:after="100" w:before="240"/>
      </w:pPr>
      <w:r>
        <w:rPr>
          <w:rFonts w:ascii="Times New Roman" w:cs="Times New Roman" w:eastAsia="Times New Roman" w:hAnsi="Times New Roman"/>
          <w:b/>
          <w:bCs/>
          <w:color w:val="0A0A0F"/>
          <w:sz w:val="22"/>
          <w:szCs w:val="22"/>
        </w:rPr>
        <w:t xml:space="preserve">Article 20 bis — </w:t>
      </w:r>
      <w:r>
        <w:rPr>
          <w:rFonts w:ascii="Times New Roman" w:cs="Times New Roman" w:eastAsia="Times New Roman" w:hAnsi="Times New Roman"/>
          <w:b/>
          <w:bCs/>
          <w:i/>
          <w:iCs/>
          <w:color w:val="0A0A0F"/>
          <w:sz w:val="22"/>
          <w:szCs w:val="22"/>
        </w:rPr>
        <w:t xml:space="preserve">Qualité de Fondateur Statutaire</w:t>
      </w:r>
    </w:p>
    <w:p>
      <w:pPr>
        <w:spacing w:after="160" w:line="300"/>
        <w:jc w:val="both"/>
      </w:pPr>
      <w:r>
        <w:rPr>
          <w:rFonts w:ascii="Times New Roman" w:cs="Times New Roman" w:eastAsia="Times New Roman" w:hAnsi="Times New Roman"/>
          <w:sz w:val="22"/>
          <w:szCs w:val="22"/>
        </w:rPr>
        <w:t xml:space="preserve">KONE Idrisse Junior, en tant qu'initiateur et Président Fondateur de l'Association, se voit reconnaître la qualité de « Fondateur Statutaire ». Cette qualité lui est acquise à titre personnel et définitif. Elle ne peut faire l'objet d'aucune révocation par vote ordinaire de l'Assemblée Générale, du Conseil d'Administration ou du Bureau Exécutif. Seul KONE Idrisse Junior peut, de son propre chef et par déclaration écrite, renoncer à cette qualité.</w:t>
      </w:r>
    </w:p>
    <w:p>
      <w:pPr>
        <w:spacing w:after="100" w:before="240"/>
      </w:pPr>
      <w:r>
        <w:rPr>
          <w:rFonts w:ascii="Times New Roman" w:cs="Times New Roman" w:eastAsia="Times New Roman" w:hAnsi="Times New Roman"/>
          <w:b/>
          <w:bCs/>
          <w:color w:val="0A0A0F"/>
          <w:sz w:val="22"/>
          <w:szCs w:val="22"/>
        </w:rPr>
        <w:t xml:space="preserve">Article 20 ter — </w:t>
      </w:r>
      <w:r>
        <w:rPr>
          <w:rFonts w:ascii="Times New Roman" w:cs="Times New Roman" w:eastAsia="Times New Roman" w:hAnsi="Times New Roman"/>
          <w:b/>
          <w:bCs/>
          <w:i/>
          <w:iCs/>
          <w:color w:val="0A0A0F"/>
          <w:sz w:val="22"/>
          <w:szCs w:val="22"/>
        </w:rPr>
        <w:t xml:space="preserve">Droit de veto du Président Fondateur</w:t>
      </w:r>
    </w:p>
    <w:p>
      <w:pPr>
        <w:spacing w:after="160" w:line="300"/>
        <w:jc w:val="both"/>
      </w:pPr>
      <w:r>
        <w:rPr>
          <w:rFonts w:ascii="Times New Roman" w:cs="Times New Roman" w:eastAsia="Times New Roman" w:hAnsi="Times New Roman"/>
          <w:sz w:val="22"/>
          <w:szCs w:val="22"/>
        </w:rPr>
        <w:t xml:space="preserve">Le Président Fondateur dispose d'un droit de veto personnel sur les décisions suivantes, quel que soit le résultat du vote de l'organe compétent :</w:t>
      </w:r>
    </w:p>
    <w:p>
      <w:pPr>
        <w:pStyle w:val="ListParagraph"/>
        <w:numPr>
          <w:ilvl w:val="0"/>
          <w:numId w:val="2"/>
        </w:numPr>
        <w:spacing w:after="80"/>
      </w:pPr>
      <w:r>
        <w:rPr>
          <w:rFonts w:ascii="Times New Roman" w:cs="Times New Roman" w:eastAsia="Times New Roman" w:hAnsi="Times New Roman"/>
          <w:sz w:val="22"/>
          <w:szCs w:val="22"/>
        </w:rPr>
        <w:t xml:space="preserve">Toute modification des présents statuts ;</w:t>
      </w:r>
    </w:p>
    <w:p>
      <w:pPr>
        <w:pStyle w:val="ListParagraph"/>
        <w:numPr>
          <w:ilvl w:val="0"/>
          <w:numId w:val="2"/>
        </w:numPr>
        <w:spacing w:after="80"/>
      </w:pPr>
      <w:r>
        <w:rPr>
          <w:rFonts w:ascii="Times New Roman" w:cs="Times New Roman" w:eastAsia="Times New Roman" w:hAnsi="Times New Roman"/>
          <w:sz w:val="22"/>
          <w:szCs w:val="22"/>
        </w:rPr>
        <w:t xml:space="preserve">Toute décision d'admission ou d'exclusion d'un membre de l'Association ;</w:t>
      </w:r>
    </w:p>
    <w:p>
      <w:pPr>
        <w:pStyle w:val="ListParagraph"/>
        <w:numPr>
          <w:ilvl w:val="0"/>
          <w:numId w:val="2"/>
        </w:numPr>
        <w:spacing w:after="80"/>
      </w:pPr>
      <w:r>
        <w:rPr>
          <w:rFonts w:ascii="Times New Roman" w:cs="Times New Roman" w:eastAsia="Times New Roman" w:hAnsi="Times New Roman"/>
          <w:sz w:val="22"/>
          <w:szCs w:val="22"/>
        </w:rPr>
        <w:t xml:space="preserve">Toute décision fixant ou modifiant l'orientation stratégique de l'Association.</w:t>
      </w:r>
    </w:p>
    <w:p>
      <w:pPr>
        <w:spacing w:after="160" w:line="300"/>
        <w:jc w:val="both"/>
      </w:pPr>
      <w:r>
        <w:rPr>
          <w:rFonts w:ascii="Times New Roman" w:cs="Times New Roman" w:eastAsia="Times New Roman" w:hAnsi="Times New Roman"/>
          <w:sz w:val="22"/>
          <w:szCs w:val="22"/>
        </w:rPr>
        <w:t xml:space="preserve">L'exercice de ce droit de veto est notifié par écrit et rend la décision concernée non avenue, sans qu'un nouveau vote de l'organe compétent puisse la rétablir en l'état.</w:t>
      </w:r>
    </w:p>
    <w:p>
      <w:pPr>
        <w:spacing w:after="100" w:before="240"/>
      </w:pPr>
      <w:r>
        <w:rPr>
          <w:rFonts w:ascii="Times New Roman" w:cs="Times New Roman" w:eastAsia="Times New Roman" w:hAnsi="Times New Roman"/>
          <w:b/>
          <w:bCs/>
          <w:color w:val="0A0A0F"/>
          <w:sz w:val="22"/>
          <w:szCs w:val="22"/>
        </w:rPr>
        <w:t xml:space="preserve">Article 20 quater — </w:t>
      </w:r>
      <w:r>
        <w:rPr>
          <w:rFonts w:ascii="Times New Roman" w:cs="Times New Roman" w:eastAsia="Times New Roman" w:hAnsi="Times New Roman"/>
          <w:b/>
          <w:bCs/>
          <w:i/>
          <w:iCs/>
          <w:color w:val="0A0A0F"/>
          <w:sz w:val="22"/>
          <w:szCs w:val="22"/>
        </w:rPr>
        <w:t xml:space="preserve">Voix prépondérante renforcée</w:t>
      </w:r>
    </w:p>
    <w:p>
      <w:pPr>
        <w:spacing w:after="160" w:line="300"/>
        <w:jc w:val="both"/>
      </w:pPr>
      <w:r>
        <w:rPr>
          <w:rFonts w:ascii="Times New Roman" w:cs="Times New Roman" w:eastAsia="Times New Roman" w:hAnsi="Times New Roman"/>
          <w:sz w:val="22"/>
          <w:szCs w:val="22"/>
        </w:rPr>
        <w:t xml:space="preserve">Au sein de l'Assemblée Générale, du Conseil d'Administration et du Bureau Exécutif, la voix du Président Fondateur compte pour deux voix lors de tout scrutin. Cette pondération s'applique de plein droit, y compris lorsque le vote n'est pas égalitaire, et s'ajoute au droit de veto prévu à l'article 20 ter.</w:t>
      </w:r>
    </w:p>
    <w:p>
      <w:pPr>
        <w:spacing w:after="100" w:before="240"/>
      </w:pPr>
      <w:r>
        <w:rPr>
          <w:rFonts w:ascii="Times New Roman" w:cs="Times New Roman" w:eastAsia="Times New Roman" w:hAnsi="Times New Roman"/>
          <w:b/>
          <w:bCs/>
          <w:color w:val="0A0A0F"/>
          <w:sz w:val="22"/>
          <w:szCs w:val="22"/>
        </w:rPr>
        <w:t xml:space="preserve">Article 20 quinquies — </w:t>
      </w:r>
      <w:r>
        <w:rPr>
          <w:rFonts w:ascii="Times New Roman" w:cs="Times New Roman" w:eastAsia="Times New Roman" w:hAnsi="Times New Roman"/>
          <w:b/>
          <w:bCs/>
          <w:i/>
          <w:iCs/>
          <w:color w:val="0A0A0F"/>
          <w:sz w:val="22"/>
          <w:szCs w:val="22"/>
        </w:rPr>
        <w:t xml:space="preserve">Accord exprès requis pour toute modification des statuts</w:t>
      </w:r>
    </w:p>
    <w:p>
      <w:pPr>
        <w:spacing w:after="160" w:line="300"/>
        <w:jc w:val="both"/>
      </w:pPr>
      <w:r>
        <w:rPr>
          <w:rFonts w:ascii="Times New Roman" w:cs="Times New Roman" w:eastAsia="Times New Roman" w:hAnsi="Times New Roman"/>
          <w:sz w:val="22"/>
          <w:szCs w:val="22"/>
        </w:rPr>
        <w:t xml:space="preserve">Par dérogation à l'article 26, aucune modification des présents statuts, quelle qu'en soit la nature ou l'ampleur, ne peut entrer en vigueur sans l'accord exprès et écrit du Président Fondateur, y compris lorsque la majorité requise en Assemblée Générale Extraordinaire est atteinte. Cette exigence perdure tant que KONE Idrisse Junior conserve la qualité de Fondateur Statutaire définie à l'article 20 bis.</w:t>
      </w:r>
    </w:p>
    <w:p>
      <w:pPr>
        <w:spacing w:after="100" w:before="240"/>
      </w:pPr>
      <w:r>
        <w:rPr>
          <w:rFonts w:ascii="Times New Roman" w:cs="Times New Roman" w:eastAsia="Times New Roman" w:hAnsi="Times New Roman"/>
          <w:b/>
          <w:bCs/>
          <w:color w:val="0A0A0F"/>
          <w:sz w:val="22"/>
          <w:szCs w:val="22"/>
        </w:rPr>
        <w:t xml:space="preserve">Article 21 — </w:t>
      </w:r>
      <w:r>
        <w:rPr>
          <w:rFonts w:ascii="Times New Roman" w:cs="Times New Roman" w:eastAsia="Times New Roman" w:hAnsi="Times New Roman"/>
          <w:b/>
          <w:bCs/>
          <w:i/>
          <w:iCs/>
          <w:color w:val="0A0A0F"/>
          <w:sz w:val="22"/>
          <w:szCs w:val="22"/>
        </w:rPr>
        <w:t xml:space="preserve">Attributions du Responsable des Technologies de l'Information</w:t>
      </w:r>
    </w:p>
    <w:p>
      <w:pPr>
        <w:spacing w:after="160" w:line="300"/>
        <w:jc w:val="both"/>
      </w:pPr>
      <w:r>
        <w:rPr>
          <w:rFonts w:ascii="Times New Roman" w:cs="Times New Roman" w:eastAsia="Times New Roman" w:hAnsi="Times New Roman"/>
          <w:sz w:val="22"/>
          <w:szCs w:val="22"/>
        </w:rPr>
        <w:t xml:space="preserve">BAMBA Mohamed, Responsable des Technologies de l'Information, est chargé :</w:t>
      </w:r>
    </w:p>
    <w:p>
      <w:pPr>
        <w:pStyle w:val="ListParagraph"/>
        <w:numPr>
          <w:ilvl w:val="0"/>
          <w:numId w:val="2"/>
        </w:numPr>
        <w:spacing w:after="80"/>
      </w:pPr>
      <w:r>
        <w:rPr>
          <w:rFonts w:ascii="Times New Roman" w:cs="Times New Roman" w:eastAsia="Times New Roman" w:hAnsi="Times New Roman"/>
          <w:sz w:val="22"/>
          <w:szCs w:val="22"/>
        </w:rPr>
        <w:t xml:space="preserve">De la conception, du déploiement et de la maintenance des outils, plateformes et supports numériques de l'Association ;</w:t>
      </w:r>
    </w:p>
    <w:p>
      <w:pPr>
        <w:pStyle w:val="ListParagraph"/>
        <w:numPr>
          <w:ilvl w:val="0"/>
          <w:numId w:val="2"/>
        </w:numPr>
        <w:spacing w:after="80"/>
      </w:pPr>
      <w:r>
        <w:rPr>
          <w:rFonts w:ascii="Times New Roman" w:cs="Times New Roman" w:eastAsia="Times New Roman" w:hAnsi="Times New Roman"/>
          <w:sz w:val="22"/>
          <w:szCs w:val="22"/>
        </w:rPr>
        <w:t xml:space="preserve">De l'organisation technique des formations et ateliers numériques dispensés par CLIC ;</w:t>
      </w:r>
    </w:p>
    <w:p>
      <w:pPr>
        <w:pStyle w:val="ListParagraph"/>
        <w:numPr>
          <w:ilvl w:val="0"/>
          <w:numId w:val="2"/>
        </w:numPr>
        <w:spacing w:after="80"/>
      </w:pPr>
      <w:r>
        <w:rPr>
          <w:rFonts w:ascii="Times New Roman" w:cs="Times New Roman" w:eastAsia="Times New Roman" w:hAnsi="Times New Roman"/>
          <w:sz w:val="22"/>
          <w:szCs w:val="22"/>
        </w:rPr>
        <w:t xml:space="preserve">De la sécurité des données et des systèmes d'information de l'Association ;</w:t>
      </w:r>
    </w:p>
    <w:p>
      <w:pPr>
        <w:pStyle w:val="ListParagraph"/>
        <w:numPr>
          <w:ilvl w:val="0"/>
          <w:numId w:val="2"/>
        </w:numPr>
        <w:spacing w:after="80"/>
      </w:pPr>
      <w:r>
        <w:rPr>
          <w:rFonts w:ascii="Times New Roman" w:cs="Times New Roman" w:eastAsia="Times New Roman" w:hAnsi="Times New Roman"/>
          <w:sz w:val="22"/>
          <w:szCs w:val="22"/>
        </w:rPr>
        <w:t xml:space="preserve">De la veille technologique et de l'accompagnement du Bureau Exécutif dans les choix numériques stratégiques.</w:t>
      </w:r>
    </w:p>
    <w:p>
      <w:pPr>
        <w:spacing w:after="100" w:before="240"/>
      </w:pPr>
      <w:r>
        <w:rPr>
          <w:rFonts w:ascii="Times New Roman" w:cs="Times New Roman" w:eastAsia="Times New Roman" w:hAnsi="Times New Roman"/>
          <w:b/>
          <w:bCs/>
          <w:color w:val="0A0A0F"/>
          <w:sz w:val="22"/>
          <w:szCs w:val="22"/>
        </w:rPr>
        <w:t xml:space="preserve">Article 22 — </w:t>
      </w:r>
      <w:r>
        <w:rPr>
          <w:rFonts w:ascii="Times New Roman" w:cs="Times New Roman" w:eastAsia="Times New Roman" w:hAnsi="Times New Roman"/>
          <w:b/>
          <w:bCs/>
          <w:i/>
          <w:iCs/>
          <w:color w:val="0A0A0F"/>
          <w:sz w:val="22"/>
          <w:szCs w:val="22"/>
        </w:rPr>
        <w:t xml:space="preserve">Attributions du Responsable Communication &amp; Design</w:t>
      </w:r>
    </w:p>
    <w:p>
      <w:pPr>
        <w:spacing w:after="160" w:line="300"/>
        <w:jc w:val="both"/>
      </w:pPr>
      <w:r>
        <w:rPr>
          <w:rFonts w:ascii="Times New Roman" w:cs="Times New Roman" w:eastAsia="Times New Roman" w:hAnsi="Times New Roman"/>
          <w:sz w:val="22"/>
          <w:szCs w:val="22"/>
        </w:rPr>
        <w:t xml:space="preserve">Marc Antoine DA, Responsable Communication &amp; Design, est chargé :</w:t>
      </w:r>
    </w:p>
    <w:p>
      <w:pPr>
        <w:pStyle w:val="ListParagraph"/>
        <w:numPr>
          <w:ilvl w:val="0"/>
          <w:numId w:val="2"/>
        </w:numPr>
        <w:spacing w:after="80"/>
      </w:pPr>
      <w:r>
        <w:rPr>
          <w:rFonts w:ascii="Times New Roman" w:cs="Times New Roman" w:eastAsia="Times New Roman" w:hAnsi="Times New Roman"/>
          <w:sz w:val="22"/>
          <w:szCs w:val="22"/>
        </w:rPr>
        <w:t xml:space="preserve">De la conception et de l'application de l'identité visuelle de l'Association, conformément à la Charte Graphique CLIC en vigueur ;</w:t>
      </w:r>
    </w:p>
    <w:p>
      <w:pPr>
        <w:pStyle w:val="ListParagraph"/>
        <w:numPr>
          <w:ilvl w:val="0"/>
          <w:numId w:val="2"/>
        </w:numPr>
        <w:spacing w:after="80"/>
      </w:pPr>
      <w:r>
        <w:rPr>
          <w:rFonts w:ascii="Times New Roman" w:cs="Times New Roman" w:eastAsia="Times New Roman" w:hAnsi="Times New Roman"/>
          <w:sz w:val="22"/>
          <w:szCs w:val="22"/>
        </w:rPr>
        <w:t xml:space="preserve">De la stratégie de communication interne et externe, y compris sur les réseaux sociaux et supports imprimés ;</w:t>
      </w:r>
    </w:p>
    <w:p>
      <w:pPr>
        <w:pStyle w:val="ListParagraph"/>
        <w:numPr>
          <w:ilvl w:val="0"/>
          <w:numId w:val="2"/>
        </w:numPr>
        <w:spacing w:after="80"/>
      </w:pPr>
      <w:r>
        <w:rPr>
          <w:rFonts w:ascii="Times New Roman" w:cs="Times New Roman" w:eastAsia="Times New Roman" w:hAnsi="Times New Roman"/>
          <w:sz w:val="22"/>
          <w:szCs w:val="22"/>
        </w:rPr>
        <w:t xml:space="preserve">De la production des contenus graphiques, visuels et éditoriaux de l'Association ;</w:t>
      </w:r>
    </w:p>
    <w:p>
      <w:pPr>
        <w:pStyle w:val="ListParagraph"/>
        <w:numPr>
          <w:ilvl w:val="0"/>
          <w:numId w:val="2"/>
        </w:numPr>
        <w:spacing w:after="80"/>
      </w:pPr>
      <w:r>
        <w:rPr>
          <w:rFonts w:ascii="Times New Roman" w:cs="Times New Roman" w:eastAsia="Times New Roman" w:hAnsi="Times New Roman"/>
          <w:sz w:val="22"/>
          <w:szCs w:val="22"/>
        </w:rPr>
        <w:t xml:space="preserve">De la valorisation de l'image de CLIC auprès du public, des partenaires et des médias.</w:t>
      </w:r>
    </w:p>
    <w:p>
      <w:pPr>
        <w:spacing w:after="100" w:before="240"/>
      </w:pPr>
      <w:r>
        <w:rPr>
          <w:rFonts w:ascii="Times New Roman" w:cs="Times New Roman" w:eastAsia="Times New Roman" w:hAnsi="Times New Roman"/>
          <w:b/>
          <w:bCs/>
          <w:color w:val="0A0A0F"/>
          <w:sz w:val="22"/>
          <w:szCs w:val="22"/>
        </w:rPr>
        <w:t xml:space="preserve">Article 23 — </w:t>
      </w:r>
      <w:r>
        <w:rPr>
          <w:rFonts w:ascii="Times New Roman" w:cs="Times New Roman" w:eastAsia="Times New Roman" w:hAnsi="Times New Roman"/>
          <w:b/>
          <w:bCs/>
          <w:i/>
          <w:iCs/>
          <w:color w:val="0A0A0F"/>
          <w:sz w:val="22"/>
          <w:szCs w:val="22"/>
        </w:rPr>
        <w:t xml:space="preserve">Attributions du Trésorier Général</w:t>
      </w:r>
    </w:p>
    <w:p>
      <w:pPr>
        <w:spacing w:after="160" w:line="300"/>
        <w:jc w:val="both"/>
      </w:pPr>
      <w:r>
        <w:rPr>
          <w:rFonts w:ascii="Times New Roman" w:cs="Times New Roman" w:eastAsia="Times New Roman" w:hAnsi="Times New Roman"/>
          <w:sz w:val="22"/>
          <w:szCs w:val="22"/>
        </w:rPr>
        <w:t xml:space="preserve">Hassan DIARRASSOUBA, Trésorier Général, est chargé :</w:t>
      </w:r>
    </w:p>
    <w:p>
      <w:pPr>
        <w:pStyle w:val="ListParagraph"/>
        <w:numPr>
          <w:ilvl w:val="0"/>
          <w:numId w:val="2"/>
        </w:numPr>
        <w:spacing w:after="80"/>
      </w:pPr>
      <w:r>
        <w:rPr>
          <w:rFonts w:ascii="Times New Roman" w:cs="Times New Roman" w:eastAsia="Times New Roman" w:hAnsi="Times New Roman"/>
          <w:sz w:val="22"/>
          <w:szCs w:val="22"/>
        </w:rPr>
        <w:t xml:space="preserve">De la tenue de la comptabilité de l'Association ;</w:t>
      </w:r>
    </w:p>
    <w:p>
      <w:pPr>
        <w:pStyle w:val="ListParagraph"/>
        <w:numPr>
          <w:ilvl w:val="0"/>
          <w:numId w:val="2"/>
        </w:numPr>
        <w:spacing w:after="80"/>
      </w:pPr>
      <w:r>
        <w:rPr>
          <w:rFonts w:ascii="Times New Roman" w:cs="Times New Roman" w:eastAsia="Times New Roman" w:hAnsi="Times New Roman"/>
          <w:sz w:val="22"/>
          <w:szCs w:val="22"/>
        </w:rPr>
        <w:t xml:space="preserve">De l'encaissement des cotisations, dons et subventions ;</w:t>
      </w:r>
    </w:p>
    <w:p>
      <w:pPr>
        <w:pStyle w:val="ListParagraph"/>
        <w:numPr>
          <w:ilvl w:val="0"/>
          <w:numId w:val="2"/>
        </w:numPr>
        <w:spacing w:after="80"/>
      </w:pPr>
      <w:r>
        <w:rPr>
          <w:rFonts w:ascii="Times New Roman" w:cs="Times New Roman" w:eastAsia="Times New Roman" w:hAnsi="Times New Roman"/>
          <w:sz w:val="22"/>
          <w:szCs w:val="22"/>
        </w:rPr>
        <w:t xml:space="preserve">De la préparation du budget prévisionnel et du rapport financier annuel soumis à l'Assemblée Générale ;</w:t>
      </w:r>
    </w:p>
    <w:p>
      <w:pPr>
        <w:pStyle w:val="ListParagraph"/>
        <w:numPr>
          <w:ilvl w:val="0"/>
          <w:numId w:val="2"/>
        </w:numPr>
        <w:spacing w:after="80"/>
      </w:pPr>
      <w:r>
        <w:rPr>
          <w:rFonts w:ascii="Times New Roman" w:cs="Times New Roman" w:eastAsia="Times New Roman" w:hAnsi="Times New Roman"/>
          <w:sz w:val="22"/>
          <w:szCs w:val="22"/>
        </w:rPr>
        <w:t xml:space="preserve">De la cosignature, avec le Président, de tout engagement financier de l'Association.</w:t>
      </w:r>
    </w:p>
    <w:p>
      <w:pPr>
        <w:spacing w:after="100" w:before="240"/>
      </w:pPr>
      <w:r>
        <w:rPr>
          <w:rFonts w:ascii="Times New Roman" w:cs="Times New Roman" w:eastAsia="Times New Roman" w:hAnsi="Times New Roman"/>
          <w:b/>
          <w:bCs/>
          <w:color w:val="0A0A0F"/>
          <w:sz w:val="22"/>
          <w:szCs w:val="22"/>
        </w:rPr>
        <w:t xml:space="preserve">Article 24 — </w:t>
      </w:r>
      <w:r>
        <w:rPr>
          <w:rFonts w:ascii="Times New Roman" w:cs="Times New Roman" w:eastAsia="Times New Roman" w:hAnsi="Times New Roman"/>
          <w:b/>
          <w:bCs/>
          <w:i/>
          <w:iCs/>
          <w:color w:val="0A0A0F"/>
          <w:sz w:val="22"/>
          <w:szCs w:val="22"/>
        </w:rPr>
        <w:t xml:space="preserve">Durée des mandats</w:t>
      </w:r>
    </w:p>
    <w:p>
      <w:pPr>
        <w:spacing w:after="160" w:line="300"/>
        <w:jc w:val="both"/>
      </w:pPr>
      <w:r>
        <w:rPr>
          <w:rFonts w:ascii="Times New Roman" w:cs="Times New Roman" w:eastAsia="Times New Roman" w:hAnsi="Times New Roman"/>
          <w:sz w:val="22"/>
          <w:szCs w:val="22"/>
        </w:rPr>
        <w:t xml:space="preserve">Les membres du Bureau Exécutif sont élus ou confirmés pour un mandat de trois ans renouvelable, sauf pour les membres fondateurs, dont le mandat initial court à compter de la signature des présents statuts. Tout membre du Bureau Exécutif peut être révoqué par l'Assemblée Générale pour motif grave, dans les conditions fixées par le règlement intérieur.</w:t>
      </w:r>
    </w:p>
    <w:p>
      <w:pPr>
        <w:spacing w:after="100" w:before="240"/>
      </w:pPr>
      <w:r>
        <w:rPr>
          <w:rFonts w:ascii="Times New Roman" w:cs="Times New Roman" w:eastAsia="Times New Roman" w:hAnsi="Times New Roman"/>
          <w:b/>
          <w:bCs/>
          <w:color w:val="0A0A0F"/>
          <w:sz w:val="22"/>
          <w:szCs w:val="22"/>
        </w:rPr>
        <w:t xml:space="preserve">Article 25 — </w:t>
      </w:r>
      <w:r>
        <w:rPr>
          <w:rFonts w:ascii="Times New Roman" w:cs="Times New Roman" w:eastAsia="Times New Roman" w:hAnsi="Times New Roman"/>
          <w:b/>
          <w:bCs/>
          <w:i/>
          <w:iCs/>
          <w:color w:val="0A0A0F"/>
          <w:sz w:val="22"/>
          <w:szCs w:val="22"/>
        </w:rPr>
        <w:t xml:space="preserve">Vacance et remplacement</w:t>
      </w:r>
    </w:p>
    <w:p>
      <w:pPr>
        <w:spacing w:after="160" w:line="300"/>
        <w:jc w:val="both"/>
      </w:pPr>
      <w:r>
        <w:rPr>
          <w:rFonts w:ascii="Times New Roman" w:cs="Times New Roman" w:eastAsia="Times New Roman" w:hAnsi="Times New Roman"/>
          <w:sz w:val="22"/>
          <w:szCs w:val="22"/>
        </w:rPr>
        <w:t xml:space="preserve">En cas de vacance d'un poste au sein du Bureau Exécutif (démission, décès, empêchement durable), le Conseil d'Administration pourvoit provisoirement au remplacement, sous réserve de ratification par la plus prochaine Assemblée Générale.</w:t>
      </w:r>
    </w:p>
    <w:p>
      <w:r>
        <w:br w:type="page"/>
      </w:r>
    </w:p>
    <w:p>
      <w:pPr>
        <w:pStyle w:val="Heading1"/>
        <w:pBdr>
          <w:bottom w:val="single" w:color="6C5CE7" w:sz="8" w:space="4"/>
        </w:pBdr>
        <w:spacing w:after="200" w:before="480"/>
      </w:pPr>
      <w:r>
        <w:rPr>
          <w:rFonts w:ascii="Montserrat" w:cs="Montserrat" w:eastAsia="Montserrat" w:hAnsi="Montserrat"/>
          <w:b/>
          <w:bCs/>
          <w:color w:val="3B2BAA"/>
          <w:sz w:val="30"/>
          <w:szCs w:val="30"/>
        </w:rPr>
        <w:t xml:space="preserve">TITRE V — MODIFICATION DES STATUTS ET DISSOLUTION</w:t>
      </w:r>
    </w:p>
    <w:p>
      <w:pPr>
        <w:spacing w:after="100" w:before="240"/>
      </w:pPr>
      <w:r>
        <w:rPr>
          <w:rFonts w:ascii="Times New Roman" w:cs="Times New Roman" w:eastAsia="Times New Roman" w:hAnsi="Times New Roman"/>
          <w:b/>
          <w:bCs/>
          <w:color w:val="0A0A0F"/>
          <w:sz w:val="22"/>
          <w:szCs w:val="22"/>
        </w:rPr>
        <w:t xml:space="preserve">Article 26 — </w:t>
      </w:r>
      <w:r>
        <w:rPr>
          <w:rFonts w:ascii="Times New Roman" w:cs="Times New Roman" w:eastAsia="Times New Roman" w:hAnsi="Times New Roman"/>
          <w:b/>
          <w:bCs/>
          <w:i/>
          <w:iCs/>
          <w:color w:val="0A0A0F"/>
          <w:sz w:val="22"/>
          <w:szCs w:val="22"/>
        </w:rPr>
        <w:t xml:space="preserve">Modification des statuts</w:t>
      </w:r>
    </w:p>
    <w:p>
      <w:pPr>
        <w:spacing w:after="160" w:line="300"/>
        <w:jc w:val="both"/>
      </w:pPr>
      <w:r>
        <w:rPr>
          <w:rFonts w:ascii="Times New Roman" w:cs="Times New Roman" w:eastAsia="Times New Roman" w:hAnsi="Times New Roman"/>
          <w:sz w:val="22"/>
          <w:szCs w:val="22"/>
        </w:rPr>
        <w:t xml:space="preserve">Les présents statuts ne peuvent être modifiés que par l'Assemblée Générale Extraordinaire, sur proposition du Bureau Exécutif ou d'au moins un tiers des membres actifs, à la majorité des deux tiers des membres présents ou représentés, et sous réserve, dans tous les cas, de l'accord exprès et écrit du Président Fondateur prévu à l'article 20 quinquies.</w:t>
      </w:r>
    </w:p>
    <w:p>
      <w:pPr>
        <w:spacing w:after="100" w:before="240"/>
      </w:pPr>
      <w:r>
        <w:rPr>
          <w:rFonts w:ascii="Times New Roman" w:cs="Times New Roman" w:eastAsia="Times New Roman" w:hAnsi="Times New Roman"/>
          <w:b/>
          <w:bCs/>
          <w:color w:val="0A0A0F"/>
          <w:sz w:val="22"/>
          <w:szCs w:val="22"/>
        </w:rPr>
        <w:t xml:space="preserve">Article 27 — </w:t>
      </w:r>
      <w:r>
        <w:rPr>
          <w:rFonts w:ascii="Times New Roman" w:cs="Times New Roman" w:eastAsia="Times New Roman" w:hAnsi="Times New Roman"/>
          <w:b/>
          <w:bCs/>
          <w:i/>
          <w:iCs/>
          <w:color w:val="0A0A0F"/>
          <w:sz w:val="22"/>
          <w:szCs w:val="22"/>
        </w:rPr>
        <w:t xml:space="preserve">Dissolution</w:t>
      </w:r>
    </w:p>
    <w:p>
      <w:pPr>
        <w:spacing w:after="160" w:line="300"/>
        <w:jc w:val="both"/>
      </w:pPr>
      <w:r>
        <w:rPr>
          <w:rFonts w:ascii="Times New Roman" w:cs="Times New Roman" w:eastAsia="Times New Roman" w:hAnsi="Times New Roman"/>
          <w:sz w:val="22"/>
          <w:szCs w:val="22"/>
        </w:rPr>
        <w:t xml:space="preserve">La dissolution de l'Association ne peut être prononcée que par l'Assemblée Générale Extraordinaire, convoquée spécialement à cet effet, à la majorité des deux tiers des membres présents ou représentés.</w:t>
      </w:r>
    </w:p>
    <w:p>
      <w:pPr>
        <w:spacing w:after="100" w:before="240"/>
      </w:pPr>
      <w:r>
        <w:rPr>
          <w:rFonts w:ascii="Times New Roman" w:cs="Times New Roman" w:eastAsia="Times New Roman" w:hAnsi="Times New Roman"/>
          <w:b/>
          <w:bCs/>
          <w:color w:val="0A0A0F"/>
          <w:sz w:val="22"/>
          <w:szCs w:val="22"/>
        </w:rPr>
        <w:t xml:space="preserve">Article 28 — </w:t>
      </w:r>
      <w:r>
        <w:rPr>
          <w:rFonts w:ascii="Times New Roman" w:cs="Times New Roman" w:eastAsia="Times New Roman" w:hAnsi="Times New Roman"/>
          <w:b/>
          <w:bCs/>
          <w:i/>
          <w:iCs/>
          <w:color w:val="0A0A0F"/>
          <w:sz w:val="22"/>
          <w:szCs w:val="22"/>
        </w:rPr>
        <w:t xml:space="preserve">Dévolution des biens</w:t>
      </w:r>
    </w:p>
    <w:p>
      <w:pPr>
        <w:spacing w:after="160" w:line="300"/>
        <w:jc w:val="both"/>
      </w:pPr>
      <w:r>
        <w:rPr>
          <w:rFonts w:ascii="Times New Roman" w:cs="Times New Roman" w:eastAsia="Times New Roman" w:hAnsi="Times New Roman"/>
          <w:sz w:val="22"/>
          <w:szCs w:val="22"/>
        </w:rPr>
        <w:t xml:space="preserve">En cas de dissolution, l'Assemblée Générale désigne un ou plusieurs liquidateurs chargés de la liquidation des biens de l'Association. L'actif net, s'il en existe, est dévolu à une ou plusieurs organisations poursuivant un objet similaire, conformément à la législation en vigueur en Côte d'Ivoire.</w:t>
      </w:r>
    </w:p>
    <w:p>
      <w:pPr>
        <w:spacing w:after="100" w:before="240"/>
      </w:pPr>
      <w:r>
        <w:rPr>
          <w:rFonts w:ascii="Times New Roman" w:cs="Times New Roman" w:eastAsia="Times New Roman" w:hAnsi="Times New Roman"/>
          <w:b/>
          <w:bCs/>
          <w:color w:val="0A0A0F"/>
          <w:sz w:val="22"/>
          <w:szCs w:val="22"/>
        </w:rPr>
        <w:t xml:space="preserve">Article 29 — </w:t>
      </w:r>
      <w:r>
        <w:rPr>
          <w:rFonts w:ascii="Times New Roman" w:cs="Times New Roman" w:eastAsia="Times New Roman" w:hAnsi="Times New Roman"/>
          <w:b/>
          <w:bCs/>
          <w:i/>
          <w:iCs/>
          <w:color w:val="0A0A0F"/>
          <w:sz w:val="22"/>
          <w:szCs w:val="22"/>
        </w:rPr>
        <w:t xml:space="preserve">Formalités</w:t>
      </w:r>
    </w:p>
    <w:p>
      <w:pPr>
        <w:spacing w:after="160" w:line="300"/>
        <w:jc w:val="both"/>
      </w:pPr>
      <w:r>
        <w:rPr>
          <w:rFonts w:ascii="Times New Roman" w:cs="Times New Roman" w:eastAsia="Times New Roman" w:hAnsi="Times New Roman"/>
          <w:sz w:val="22"/>
          <w:szCs w:val="22"/>
        </w:rPr>
        <w:t xml:space="preserve">Le Président Fondateur, ou tout membre du Bureau Exécutif dûment mandaté, est chargé d'accomplir toutes les formalités de déclaration et de publicité requises par la loi, tant lors de la constitution de l'Association qu'à l'occasion de modifications ultérieures de ses statuts ou de sa dissolution.</w:t>
      </w:r>
    </w:p>
    <w:p>
      <w:r>
        <w:br w:type="page"/>
      </w:r>
    </w:p>
    <w:p>
      <w:pPr>
        <w:pStyle w:val="Heading1"/>
        <w:pBdr>
          <w:bottom w:val="single" w:color="6C5CE7" w:sz="8" w:space="4"/>
        </w:pBdr>
        <w:spacing w:after="200" w:before="480"/>
      </w:pPr>
      <w:r>
        <w:rPr>
          <w:rFonts w:ascii="Montserrat" w:cs="Montserrat" w:eastAsia="Montserrat" w:hAnsi="Montserrat"/>
          <w:b/>
          <w:bCs/>
          <w:color w:val="3B2BAA"/>
          <w:sz w:val="30"/>
          <w:szCs w:val="30"/>
        </w:rPr>
        <w:t xml:space="preserve">RÈGLEMENT INTÉRIEUR</w:t>
      </w:r>
    </w:p>
    <w:p>
      <w:pPr>
        <w:spacing w:after="160" w:line="300"/>
        <w:jc w:val="both"/>
      </w:pPr>
      <w:r>
        <w:rPr>
          <w:rFonts w:ascii="Times New Roman" w:cs="Times New Roman" w:eastAsia="Times New Roman" w:hAnsi="Times New Roman"/>
          <w:i/>
          <w:iCs/>
          <w:color w:val="6B6B76"/>
          <w:sz w:val="22"/>
          <w:szCs w:val="22"/>
        </w:rPr>
        <w:t xml:space="preserve">Le présent règlement intérieur complète les statuts de l'Association CLIC. Il précise leurs modalités d'application et s'impose à tous les membres. Il est adopté et modifié par le Bureau Exécutif, sous réserve de ratification par l'Assemblée Générale.</w:t>
      </w:r>
    </w:p>
    <w:p>
      <w:pPr>
        <w:pStyle w:val="Heading2"/>
        <w:spacing w:after="120" w:before="300"/>
      </w:pPr>
      <w:r>
        <w:rPr>
          <w:rFonts w:ascii="Montserrat" w:cs="Montserrat" w:eastAsia="Montserrat" w:hAnsi="Montserrat"/>
          <w:b/>
          <w:bCs/>
          <w:color w:val="6C5CE7"/>
          <w:sz w:val="24"/>
          <w:szCs w:val="24"/>
        </w:rPr>
        <w:t xml:space="preserve">Chapitre 1 — Fonctionnement du Bureau Exécutif</w:t>
      </w:r>
    </w:p>
    <w:p>
      <w:pPr>
        <w:spacing w:after="100" w:before="240"/>
      </w:pPr>
      <w:r>
        <w:rPr>
          <w:rFonts w:ascii="Times New Roman" w:cs="Times New Roman" w:eastAsia="Times New Roman" w:hAnsi="Times New Roman"/>
          <w:b/>
          <w:bCs/>
          <w:color w:val="0A0A0F"/>
          <w:sz w:val="22"/>
          <w:szCs w:val="22"/>
        </w:rPr>
        <w:t xml:space="preserve">Article 1 — </w:t>
      </w:r>
      <w:r>
        <w:rPr>
          <w:rFonts w:ascii="Times New Roman" w:cs="Times New Roman" w:eastAsia="Times New Roman" w:hAnsi="Times New Roman"/>
          <w:b/>
          <w:bCs/>
          <w:i/>
          <w:iCs/>
          <w:color w:val="0A0A0F"/>
          <w:sz w:val="22"/>
          <w:szCs w:val="22"/>
        </w:rPr>
        <w:t xml:space="preserve">Réunions du Bureau</w:t>
      </w:r>
    </w:p>
    <w:p>
      <w:pPr>
        <w:spacing w:after="160" w:line="300"/>
        <w:jc w:val="both"/>
      </w:pPr>
      <w:r>
        <w:rPr>
          <w:rFonts w:ascii="Times New Roman" w:cs="Times New Roman" w:eastAsia="Times New Roman" w:hAnsi="Times New Roman"/>
          <w:sz w:val="22"/>
          <w:szCs w:val="22"/>
        </w:rPr>
        <w:t xml:space="preserve">Le Bureau Exécutif se réunit au moins une fois par mois, en présentiel ou à distance. Les décisions sont prises par consensus ou, à défaut, à la majorité simple, la voix du Président étant prépondérante en cas d'égalité.</w:t>
      </w:r>
    </w:p>
    <w:p>
      <w:pPr>
        <w:spacing w:after="100" w:before="240"/>
      </w:pPr>
      <w:r>
        <w:rPr>
          <w:rFonts w:ascii="Times New Roman" w:cs="Times New Roman" w:eastAsia="Times New Roman" w:hAnsi="Times New Roman"/>
          <w:b/>
          <w:bCs/>
          <w:color w:val="0A0A0F"/>
          <w:sz w:val="22"/>
          <w:szCs w:val="22"/>
        </w:rPr>
        <w:t xml:space="preserve">Article 2 — </w:t>
      </w:r>
      <w:r>
        <w:rPr>
          <w:rFonts w:ascii="Times New Roman" w:cs="Times New Roman" w:eastAsia="Times New Roman" w:hAnsi="Times New Roman"/>
          <w:b/>
          <w:bCs/>
          <w:i/>
          <w:iCs/>
          <w:color w:val="0A0A0F"/>
          <w:sz w:val="22"/>
          <w:szCs w:val="22"/>
        </w:rPr>
        <w:t xml:space="preserve">Comptes rendus</w:t>
      </w:r>
    </w:p>
    <w:p>
      <w:pPr>
        <w:spacing w:after="160" w:line="300"/>
        <w:jc w:val="both"/>
      </w:pPr>
      <w:r>
        <w:rPr>
          <w:rFonts w:ascii="Times New Roman" w:cs="Times New Roman" w:eastAsia="Times New Roman" w:hAnsi="Times New Roman"/>
          <w:sz w:val="22"/>
          <w:szCs w:val="22"/>
        </w:rPr>
        <w:t xml:space="preserve">Chaque réunion du Bureau Exécutif fait l'objet d'un compte rendu écrit, conservé dans les archives de l'Association et tenu à disposition des membres qui en font la demande.</w:t>
      </w:r>
    </w:p>
    <w:p>
      <w:pPr>
        <w:pStyle w:val="Heading2"/>
        <w:spacing w:after="120" w:before="300"/>
      </w:pPr>
      <w:r>
        <w:rPr>
          <w:rFonts w:ascii="Montserrat" w:cs="Montserrat" w:eastAsia="Montserrat" w:hAnsi="Montserrat"/>
          <w:b/>
          <w:bCs/>
          <w:color w:val="6C5CE7"/>
          <w:sz w:val="24"/>
          <w:szCs w:val="24"/>
        </w:rPr>
        <w:t xml:space="preserve">Chapitre 2 — Droits et devoirs des membres</w:t>
      </w:r>
    </w:p>
    <w:p>
      <w:pPr>
        <w:spacing w:after="100" w:before="240"/>
      </w:pPr>
      <w:r>
        <w:rPr>
          <w:rFonts w:ascii="Times New Roman" w:cs="Times New Roman" w:eastAsia="Times New Roman" w:hAnsi="Times New Roman"/>
          <w:b/>
          <w:bCs/>
          <w:color w:val="0A0A0F"/>
          <w:sz w:val="22"/>
          <w:szCs w:val="22"/>
        </w:rPr>
        <w:t xml:space="preserve">Article 3 — </w:t>
      </w:r>
      <w:r>
        <w:rPr>
          <w:rFonts w:ascii="Times New Roman" w:cs="Times New Roman" w:eastAsia="Times New Roman" w:hAnsi="Times New Roman"/>
          <w:b/>
          <w:bCs/>
          <w:i/>
          <w:iCs/>
          <w:color w:val="0A0A0F"/>
          <w:sz w:val="22"/>
          <w:szCs w:val="22"/>
        </w:rPr>
        <w:t xml:space="preserve">Droits des membres</w:t>
      </w:r>
    </w:p>
    <w:p>
      <w:pPr>
        <w:spacing w:after="160" w:line="300"/>
        <w:jc w:val="both"/>
      </w:pPr>
      <w:r>
        <w:rPr>
          <w:rFonts w:ascii="Times New Roman" w:cs="Times New Roman" w:eastAsia="Times New Roman" w:hAnsi="Times New Roman"/>
          <w:sz w:val="22"/>
          <w:szCs w:val="22"/>
        </w:rPr>
        <w:t xml:space="preserve">Tout membre à jour de ses cotisations a le droit de participer aux activités de l'Association, d'accéder aux informations relatives à sa gestion et de prendre part aux votes de l'Assemblée Générale.</w:t>
      </w:r>
    </w:p>
    <w:p>
      <w:pPr>
        <w:spacing w:after="100" w:before="240"/>
      </w:pPr>
      <w:r>
        <w:rPr>
          <w:rFonts w:ascii="Times New Roman" w:cs="Times New Roman" w:eastAsia="Times New Roman" w:hAnsi="Times New Roman"/>
          <w:b/>
          <w:bCs/>
          <w:color w:val="0A0A0F"/>
          <w:sz w:val="22"/>
          <w:szCs w:val="22"/>
        </w:rPr>
        <w:t xml:space="preserve">Article 4 — </w:t>
      </w:r>
      <w:r>
        <w:rPr>
          <w:rFonts w:ascii="Times New Roman" w:cs="Times New Roman" w:eastAsia="Times New Roman" w:hAnsi="Times New Roman"/>
          <w:b/>
          <w:bCs/>
          <w:i/>
          <w:iCs/>
          <w:color w:val="0A0A0F"/>
          <w:sz w:val="22"/>
          <w:szCs w:val="22"/>
        </w:rPr>
        <w:t xml:space="preserve">Devoirs des membres</w:t>
      </w:r>
    </w:p>
    <w:p>
      <w:pPr>
        <w:spacing w:after="160" w:line="300"/>
        <w:jc w:val="both"/>
      </w:pPr>
      <w:r>
        <w:rPr>
          <w:rFonts w:ascii="Times New Roman" w:cs="Times New Roman" w:eastAsia="Times New Roman" w:hAnsi="Times New Roman"/>
          <w:sz w:val="22"/>
          <w:szCs w:val="22"/>
        </w:rPr>
        <w:t xml:space="preserve">Tout membre s'engage à respecter les statuts, le présent règlement intérieur, ainsi que les valeurs de solidarité, d'innovation, de transparence, de respect et d'engagement citoyen portées par CLIC. Il s'interdit tout comportement portant atteinte à l'image ou aux intérêts de l'Association.</w:t>
      </w:r>
    </w:p>
    <w:p>
      <w:pPr>
        <w:pStyle w:val="Heading2"/>
        <w:spacing w:after="120" w:before="300"/>
      </w:pPr>
      <w:r>
        <w:rPr>
          <w:rFonts w:ascii="Montserrat" w:cs="Montserrat" w:eastAsia="Montserrat" w:hAnsi="Montserrat"/>
          <w:b/>
          <w:bCs/>
          <w:color w:val="6C5CE7"/>
          <w:sz w:val="24"/>
          <w:szCs w:val="24"/>
        </w:rPr>
        <w:t xml:space="preserve">Chapitre 3 — Cotisations</w:t>
      </w:r>
    </w:p>
    <w:p>
      <w:pPr>
        <w:spacing w:after="100" w:before="240"/>
      </w:pPr>
      <w:r>
        <w:rPr>
          <w:rFonts w:ascii="Times New Roman" w:cs="Times New Roman" w:eastAsia="Times New Roman" w:hAnsi="Times New Roman"/>
          <w:b/>
          <w:bCs/>
          <w:color w:val="0A0A0F"/>
          <w:sz w:val="22"/>
          <w:szCs w:val="22"/>
        </w:rPr>
        <w:t xml:space="preserve">Article 5 — </w:t>
      </w:r>
      <w:r>
        <w:rPr>
          <w:rFonts w:ascii="Times New Roman" w:cs="Times New Roman" w:eastAsia="Times New Roman" w:hAnsi="Times New Roman"/>
          <w:b/>
          <w:bCs/>
          <w:i/>
          <w:iCs/>
          <w:color w:val="0A0A0F"/>
          <w:sz w:val="22"/>
          <w:szCs w:val="22"/>
        </w:rPr>
        <w:t xml:space="preserve">Montant et modalités</w:t>
      </w:r>
    </w:p>
    <w:p>
      <w:pPr>
        <w:spacing w:after="160" w:line="300"/>
        <w:jc w:val="both"/>
      </w:pPr>
      <w:r>
        <w:rPr>
          <w:rFonts w:ascii="Times New Roman" w:cs="Times New Roman" w:eastAsia="Times New Roman" w:hAnsi="Times New Roman"/>
          <w:sz w:val="22"/>
          <w:szCs w:val="22"/>
        </w:rPr>
        <w:t xml:space="preserve">Le montant de la cotisation annuelle des membres actifs est fixé chaque année par le Bureau Exécutif et communiqué à l'ensemble des membres. Les membres d'honneur et les membres fondateurs peuvent en être dispensés sur décision du Bureau Exécutif.</w:t>
      </w:r>
    </w:p>
    <w:p>
      <w:pPr>
        <w:pStyle w:val="Heading2"/>
        <w:spacing w:after="120" w:before="300"/>
      </w:pPr>
      <w:r>
        <w:rPr>
          <w:rFonts w:ascii="Montserrat" w:cs="Montserrat" w:eastAsia="Montserrat" w:hAnsi="Montserrat"/>
          <w:b/>
          <w:bCs/>
          <w:color w:val="6C5CE7"/>
          <w:sz w:val="24"/>
          <w:szCs w:val="24"/>
        </w:rPr>
        <w:t xml:space="preserve">Chapitre 4 — Identité visuelle et communication</w:t>
      </w:r>
    </w:p>
    <w:p>
      <w:pPr>
        <w:spacing w:after="100" w:before="240"/>
      </w:pPr>
      <w:r>
        <w:rPr>
          <w:rFonts w:ascii="Times New Roman" w:cs="Times New Roman" w:eastAsia="Times New Roman" w:hAnsi="Times New Roman"/>
          <w:b/>
          <w:bCs/>
          <w:color w:val="0A0A0F"/>
          <w:sz w:val="22"/>
          <w:szCs w:val="22"/>
        </w:rPr>
        <w:t xml:space="preserve">Article 6 — </w:t>
      </w:r>
      <w:r>
        <w:rPr>
          <w:rFonts w:ascii="Times New Roman" w:cs="Times New Roman" w:eastAsia="Times New Roman" w:hAnsi="Times New Roman"/>
          <w:b/>
          <w:bCs/>
          <w:i/>
          <w:iCs/>
          <w:color w:val="0A0A0F"/>
          <w:sz w:val="22"/>
          <w:szCs w:val="22"/>
        </w:rPr>
        <w:t xml:space="preserve">Utilisation de la charte graphique</w:t>
      </w:r>
    </w:p>
    <w:p>
      <w:pPr>
        <w:spacing w:after="160" w:line="300"/>
        <w:jc w:val="both"/>
      </w:pPr>
      <w:r>
        <w:rPr>
          <w:rFonts w:ascii="Times New Roman" w:cs="Times New Roman" w:eastAsia="Times New Roman" w:hAnsi="Times New Roman"/>
          <w:sz w:val="22"/>
          <w:szCs w:val="22"/>
        </w:rPr>
        <w:t xml:space="preserve">Toute production de communication, tout support imprimé ou numérique portant le nom ou le logo de CLIC doit être conforme à la Charte Graphique CLIC (version 1.0, 2026), notamment en ce qui concerne le logo, les couleurs officielles, la typographie et les règles d'usage qui y sont définies.</w:t>
      </w:r>
    </w:p>
    <w:p>
      <w:pPr>
        <w:spacing w:after="100" w:before="240"/>
      </w:pPr>
      <w:r>
        <w:rPr>
          <w:rFonts w:ascii="Times New Roman" w:cs="Times New Roman" w:eastAsia="Times New Roman" w:hAnsi="Times New Roman"/>
          <w:b/>
          <w:bCs/>
          <w:color w:val="0A0A0F"/>
          <w:sz w:val="22"/>
          <w:szCs w:val="22"/>
        </w:rPr>
        <w:t xml:space="preserve">Article 7 — </w:t>
      </w:r>
      <w:r>
        <w:rPr>
          <w:rFonts w:ascii="Times New Roman" w:cs="Times New Roman" w:eastAsia="Times New Roman" w:hAnsi="Times New Roman"/>
          <w:b/>
          <w:bCs/>
          <w:i/>
          <w:iCs/>
          <w:color w:val="0A0A0F"/>
          <w:sz w:val="22"/>
          <w:szCs w:val="22"/>
        </w:rPr>
        <w:t xml:space="preserve">Validation des supports</w:t>
      </w:r>
    </w:p>
    <w:p>
      <w:pPr>
        <w:spacing w:after="160" w:line="300"/>
        <w:jc w:val="both"/>
      </w:pPr>
      <w:r>
        <w:rPr>
          <w:rFonts w:ascii="Times New Roman" w:cs="Times New Roman" w:eastAsia="Times New Roman" w:hAnsi="Times New Roman"/>
          <w:sz w:val="22"/>
          <w:szCs w:val="22"/>
        </w:rPr>
        <w:t xml:space="preserve">Toute publication officielle au nom de l'Association doit être préalablement validée par le Responsable Communication &amp; Design et, pour les questions techniques, par le Responsable des Technologies de l'Information.</w:t>
      </w:r>
    </w:p>
    <w:p>
      <w:pPr>
        <w:pStyle w:val="Heading2"/>
        <w:spacing w:after="120" w:before="300"/>
      </w:pPr>
      <w:r>
        <w:rPr>
          <w:rFonts w:ascii="Montserrat" w:cs="Montserrat" w:eastAsia="Montserrat" w:hAnsi="Montserrat"/>
          <w:b/>
          <w:bCs/>
          <w:color w:val="6C5CE7"/>
          <w:sz w:val="24"/>
          <w:szCs w:val="24"/>
        </w:rPr>
        <w:t xml:space="preserve">Chapitre 5 — Discipline</w:t>
      </w:r>
    </w:p>
    <w:p>
      <w:pPr>
        <w:spacing w:after="100" w:before="240"/>
      </w:pPr>
      <w:r>
        <w:rPr>
          <w:rFonts w:ascii="Times New Roman" w:cs="Times New Roman" w:eastAsia="Times New Roman" w:hAnsi="Times New Roman"/>
          <w:b/>
          <w:bCs/>
          <w:color w:val="0A0A0F"/>
          <w:sz w:val="22"/>
          <w:szCs w:val="22"/>
        </w:rPr>
        <w:t xml:space="preserve">Article 8 — </w:t>
      </w:r>
      <w:r>
        <w:rPr>
          <w:rFonts w:ascii="Times New Roman" w:cs="Times New Roman" w:eastAsia="Times New Roman" w:hAnsi="Times New Roman"/>
          <w:b/>
          <w:bCs/>
          <w:i/>
          <w:iCs/>
          <w:color w:val="0A0A0F"/>
          <w:sz w:val="22"/>
          <w:szCs w:val="22"/>
        </w:rPr>
        <w:t xml:space="preserve">Sanctions</w:t>
      </w:r>
    </w:p>
    <w:p>
      <w:pPr>
        <w:spacing w:after="160" w:line="300"/>
        <w:jc w:val="both"/>
      </w:pPr>
      <w:r>
        <w:rPr>
          <w:rFonts w:ascii="Times New Roman" w:cs="Times New Roman" w:eastAsia="Times New Roman" w:hAnsi="Times New Roman"/>
          <w:sz w:val="22"/>
          <w:szCs w:val="22"/>
        </w:rPr>
        <w:t xml:space="preserve">Tout manquement aux statuts ou au règlement intérieur peut donner lieu, selon sa gravité, à un avertissement, une suspension temporaire, ou une radiation prononcée par le Bureau Exécutif, le membre concerné ayant été entendu ou invité à présenter ses observations écrites.</w:t>
      </w:r>
    </w:p>
    <w:p>
      <w:pPr>
        <w:pStyle w:val="Heading2"/>
        <w:spacing w:after="120" w:before="300"/>
      </w:pPr>
      <w:r>
        <w:rPr>
          <w:rFonts w:ascii="Montserrat" w:cs="Montserrat" w:eastAsia="Montserrat" w:hAnsi="Montserrat"/>
          <w:b/>
          <w:bCs/>
          <w:color w:val="6C5CE7"/>
          <w:sz w:val="24"/>
          <w:szCs w:val="24"/>
        </w:rPr>
        <w:t xml:space="preserve">Chapitre 6 — Dispositions finales</w:t>
      </w:r>
    </w:p>
    <w:p>
      <w:pPr>
        <w:spacing w:after="100" w:before="240"/>
      </w:pPr>
      <w:r>
        <w:rPr>
          <w:rFonts w:ascii="Times New Roman" w:cs="Times New Roman" w:eastAsia="Times New Roman" w:hAnsi="Times New Roman"/>
          <w:b/>
          <w:bCs/>
          <w:color w:val="0A0A0F"/>
          <w:sz w:val="22"/>
          <w:szCs w:val="22"/>
        </w:rPr>
        <w:t xml:space="preserve">Article 9 — </w:t>
      </w:r>
      <w:r>
        <w:rPr>
          <w:rFonts w:ascii="Times New Roman" w:cs="Times New Roman" w:eastAsia="Times New Roman" w:hAnsi="Times New Roman"/>
          <w:b/>
          <w:bCs/>
          <w:i/>
          <w:iCs/>
          <w:color w:val="0A0A0F"/>
          <w:sz w:val="22"/>
          <w:szCs w:val="22"/>
        </w:rPr>
        <w:t xml:space="preserve">Entrée en vigueur</w:t>
      </w:r>
    </w:p>
    <w:p>
      <w:pPr>
        <w:spacing w:after="160" w:line="300"/>
        <w:jc w:val="both"/>
      </w:pPr>
      <w:r>
        <w:rPr>
          <w:rFonts w:ascii="Times New Roman" w:cs="Times New Roman" w:eastAsia="Times New Roman" w:hAnsi="Times New Roman"/>
          <w:sz w:val="22"/>
          <w:szCs w:val="22"/>
        </w:rPr>
        <w:t xml:space="preserve">Le présent règlement intérieur entre en vigueur à compter de son adoption par le Bureau Exécutif et de sa ratification par l'Assemblée Générale Constitutive.</w:t>
      </w:r>
    </w:p>
    <w:p>
      <w:pPr>
        <w:spacing w:after="100" w:before="240"/>
      </w:pPr>
      <w:r>
        <w:rPr>
          <w:rFonts w:ascii="Times New Roman" w:cs="Times New Roman" w:eastAsia="Times New Roman" w:hAnsi="Times New Roman"/>
          <w:b/>
          <w:bCs/>
          <w:color w:val="0A0A0F"/>
          <w:sz w:val="22"/>
          <w:szCs w:val="22"/>
        </w:rPr>
        <w:t xml:space="preserve">Article 10 — </w:t>
      </w:r>
      <w:r>
        <w:rPr>
          <w:rFonts w:ascii="Times New Roman" w:cs="Times New Roman" w:eastAsia="Times New Roman" w:hAnsi="Times New Roman"/>
          <w:b/>
          <w:bCs/>
          <w:i/>
          <w:iCs/>
          <w:color w:val="0A0A0F"/>
          <w:sz w:val="22"/>
          <w:szCs w:val="22"/>
        </w:rPr>
        <w:t xml:space="preserve">Révision</w:t>
      </w:r>
    </w:p>
    <w:p>
      <w:pPr>
        <w:spacing w:after="160" w:line="300"/>
        <w:jc w:val="both"/>
      </w:pPr>
      <w:r>
        <w:rPr>
          <w:rFonts w:ascii="Times New Roman" w:cs="Times New Roman" w:eastAsia="Times New Roman" w:hAnsi="Times New Roman"/>
          <w:sz w:val="22"/>
          <w:szCs w:val="22"/>
        </w:rPr>
        <w:t xml:space="preserve">Le règlement intérieur peut être modifié par le Bureau Exécutif à la majorité simple, sous réserve de ratification par la prochaine Assemblée Générale.</w:t>
      </w:r>
    </w:p>
    <w:p>
      <w:r>
        <w:br w:type="page"/>
      </w:r>
    </w:p>
    <w:p>
      <w:pPr>
        <w:pStyle w:val="Heading1"/>
        <w:pBdr>
          <w:bottom w:val="single" w:color="6C5CE7" w:sz="8" w:space="4"/>
        </w:pBdr>
        <w:spacing w:after="200" w:before="480"/>
      </w:pPr>
      <w:r>
        <w:rPr>
          <w:rFonts w:ascii="Montserrat" w:cs="Montserrat" w:eastAsia="Montserrat" w:hAnsi="Montserrat"/>
          <w:b/>
          <w:bCs/>
          <w:color w:val="3B2BAA"/>
          <w:sz w:val="30"/>
          <w:szCs w:val="30"/>
        </w:rPr>
        <w:t xml:space="preserve">SIGNATURES DES MEMBRES FONDATEURS</w:t>
      </w:r>
    </w:p>
    <w:p>
      <w:pPr>
        <w:spacing w:after="160" w:line="300"/>
        <w:jc w:val="both"/>
      </w:pPr>
      <w:r>
        <w:rPr>
          <w:rFonts w:ascii="Times New Roman" w:cs="Times New Roman" w:eastAsia="Times New Roman" w:hAnsi="Times New Roman"/>
          <w:sz w:val="22"/>
          <w:szCs w:val="22"/>
        </w:rPr>
        <w:t xml:space="preserve">Fait à Abidjan, le ____________________, en autant d'exemplaires originaux que de parties intéressées.</w:t>
      </w:r>
    </w:p>
    <w:p>
      <w:pPr>
        <w:spacing w:before="5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70"/>
        <w:gridCol w:w="4770"/>
      </w:tblGrid>
      <w:tr>
        <w:tc>
          <w:tcPr>
            <w:tcW w:type="pct" w:w="50%"/>
            <w:tcMar>
              <w:top w:type="dxa" w:w="100"/>
              <w:left w:type="dxa" w:w="120"/>
              <w:bottom w:type="dxa" w:w="400"/>
              <w:right w:type="dxa" w:w="120"/>
            </w:tcMar>
          </w:tcPr>
          <w:p>
            <w:r>
              <w:rPr>
                <w:rFonts w:ascii="Times New Roman" w:cs="Times New Roman" w:eastAsia="Times New Roman" w:hAnsi="Times New Roman"/>
                <w:b/>
                <w:bCs/>
                <w:sz w:val="22"/>
                <w:szCs w:val="22"/>
              </w:rPr>
              <w:t xml:space="preserve">KONE Idrisse Junior</w:t>
            </w:r>
          </w:p>
          <w:p>
            <w:r>
              <w:rPr>
                <w:rFonts w:ascii="Times New Roman" w:cs="Times New Roman" w:eastAsia="Times New Roman" w:hAnsi="Times New Roman"/>
                <w:i/>
                <w:iCs/>
                <w:color w:val="6C5CE7"/>
                <w:sz w:val="20"/>
                <w:szCs w:val="20"/>
              </w:rPr>
              <w:t xml:space="preserve">Président Fondateur</w:t>
            </w:r>
          </w:p>
          <w:p>
            <w:pPr>
              <w:spacing w:before="500"/>
            </w:pPr>
            <w:r>
              <w:rPr>
                <w:rFonts w:ascii="Times New Roman" w:cs="Times New Roman" w:eastAsia="Times New Roman" w:hAnsi="Times New Roman"/>
                <w:sz w:val="20"/>
                <w:szCs w:val="20"/>
              </w:rPr>
              <w:t xml:space="preserve">Signature : ____________________________</w:t>
            </w:r>
          </w:p>
        </w:tc>
        <w:tc>
          <w:tcPr>
            <w:tcW w:type="pct" w:w="50%"/>
            <w:tcMar>
              <w:top w:type="dxa" w:w="100"/>
              <w:left w:type="dxa" w:w="120"/>
              <w:bottom w:type="dxa" w:w="400"/>
              <w:right w:type="dxa" w:w="120"/>
            </w:tcMar>
          </w:tcPr>
          <w:p>
            <w:r>
              <w:rPr>
                <w:rFonts w:ascii="Times New Roman" w:cs="Times New Roman" w:eastAsia="Times New Roman" w:hAnsi="Times New Roman"/>
                <w:b/>
                <w:bCs/>
                <w:sz w:val="22"/>
                <w:szCs w:val="22"/>
              </w:rPr>
              <w:t xml:space="preserve">BAMBA Mohamed</w:t>
            </w:r>
          </w:p>
          <w:p>
            <w:r>
              <w:rPr>
                <w:rFonts w:ascii="Times New Roman" w:cs="Times New Roman" w:eastAsia="Times New Roman" w:hAnsi="Times New Roman"/>
                <w:i/>
                <w:iCs/>
                <w:color w:val="6C5CE7"/>
                <w:sz w:val="20"/>
                <w:szCs w:val="20"/>
              </w:rPr>
              <w:t xml:space="preserve">Responsable des Technologies de l'Information</w:t>
            </w:r>
          </w:p>
          <w:p>
            <w:pPr>
              <w:spacing w:before="500"/>
            </w:pPr>
            <w:r>
              <w:rPr>
                <w:rFonts w:ascii="Times New Roman" w:cs="Times New Roman" w:eastAsia="Times New Roman" w:hAnsi="Times New Roman"/>
                <w:sz w:val="20"/>
                <w:szCs w:val="20"/>
              </w:rPr>
              <w:t xml:space="preserve">Signature : ____________________________</w:t>
            </w:r>
          </w:p>
        </w:tc>
      </w:tr>
      <w:tr>
        <w:tc>
          <w:tcPr>
            <w:tcW w:type="pct" w:w="50%"/>
            <w:tcMar>
              <w:top w:type="dxa" w:w="200"/>
              <w:left w:type="dxa" w:w="120"/>
              <w:bottom w:type="dxa" w:w="400"/>
              <w:right w:type="dxa" w:w="120"/>
            </w:tcMar>
          </w:tcPr>
          <w:p>
            <w:r>
              <w:rPr>
                <w:rFonts w:ascii="Times New Roman" w:cs="Times New Roman" w:eastAsia="Times New Roman" w:hAnsi="Times New Roman"/>
                <w:b/>
                <w:bCs/>
                <w:sz w:val="22"/>
                <w:szCs w:val="22"/>
              </w:rPr>
              <w:t xml:space="preserve">Marc Antoine DA</w:t>
            </w:r>
          </w:p>
          <w:p>
            <w:r>
              <w:rPr>
                <w:rFonts w:ascii="Times New Roman" w:cs="Times New Roman" w:eastAsia="Times New Roman" w:hAnsi="Times New Roman"/>
                <w:i/>
                <w:iCs/>
                <w:color w:val="6C5CE7"/>
                <w:sz w:val="20"/>
                <w:szCs w:val="20"/>
              </w:rPr>
              <w:t xml:space="preserve">Responsable Communication &amp; Design</w:t>
            </w:r>
          </w:p>
          <w:p>
            <w:pPr>
              <w:spacing w:before="500"/>
            </w:pPr>
            <w:r>
              <w:rPr>
                <w:rFonts w:ascii="Times New Roman" w:cs="Times New Roman" w:eastAsia="Times New Roman" w:hAnsi="Times New Roman"/>
                <w:sz w:val="20"/>
                <w:szCs w:val="20"/>
              </w:rPr>
              <w:t xml:space="preserve">Signature : ____________________________</w:t>
            </w:r>
          </w:p>
        </w:tc>
        <w:tc>
          <w:tcPr>
            <w:tcW w:type="pct" w:w="50%"/>
            <w:tcMar>
              <w:top w:type="dxa" w:w="200"/>
              <w:left w:type="dxa" w:w="120"/>
              <w:bottom w:type="dxa" w:w="400"/>
              <w:right w:type="dxa" w:w="120"/>
            </w:tcMar>
          </w:tcPr>
          <w:p>
            <w:r>
              <w:rPr>
                <w:rFonts w:ascii="Times New Roman" w:cs="Times New Roman" w:eastAsia="Times New Roman" w:hAnsi="Times New Roman"/>
                <w:b/>
                <w:bCs/>
                <w:sz w:val="22"/>
                <w:szCs w:val="22"/>
              </w:rPr>
              <w:t xml:space="preserve">Hassan DIARRASSOUBA</w:t>
            </w:r>
          </w:p>
          <w:p>
            <w:r>
              <w:rPr>
                <w:rFonts w:ascii="Times New Roman" w:cs="Times New Roman" w:eastAsia="Times New Roman" w:hAnsi="Times New Roman"/>
                <w:i/>
                <w:iCs/>
                <w:color w:val="6C5CE7"/>
                <w:sz w:val="20"/>
                <w:szCs w:val="20"/>
              </w:rPr>
              <w:t xml:space="preserve">Trésorier Général</w:t>
            </w:r>
          </w:p>
          <w:p>
            <w:pPr>
              <w:spacing w:before="500"/>
            </w:pPr>
            <w:r>
              <w:rPr>
                <w:rFonts w:ascii="Times New Roman" w:cs="Times New Roman" w:eastAsia="Times New Roman" w:hAnsi="Times New Roman"/>
                <w:sz w:val="20"/>
                <w:szCs w:val="20"/>
              </w:rPr>
              <w:t xml:space="preserve">Signature : ____________________________</w:t>
            </w:r>
          </w:p>
        </w:tc>
      </w:tr>
    </w:tbl>
    <w:p>
      <w:pPr>
        <w:spacing w:before="800"/>
        <w:jc w:val="center"/>
      </w:pPr>
      <w:r>
        <w:rPr>
          <w:rFonts w:ascii="Times New Roman" w:cs="Times New Roman" w:eastAsia="Times New Roman" w:hAnsi="Times New Roman"/>
          <w:i/>
          <w:iCs/>
          <w:color w:val="6C5CE7"/>
          <w:sz w:val="22"/>
          <w:szCs w:val="22"/>
        </w:rPr>
        <w:t xml:space="preserve">« Parce que le numérique appartient à tous. »</w:t>
      </w:r>
    </w:p>
    <w:sectPr>
      <w:headerReference w:type="default" r:id="rId7"/>
      <w:footerReference w:type="default" r:id="rId8"/>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6B76"/>
        <w:sz w:val="16"/>
        <w:szCs w:val="16"/>
      </w:rPr>
      <w:t xml:space="preserve">CLIC — Centre pour l'Inclusion et la Culture du Numérique  ·  </w:t>
    </w:r>
    <w:r>
      <w:rPr>
        <w:rFonts w:ascii="Times New Roman" w:cs="Times New Roman" w:eastAsia="Times New Roman" w:hAnsi="Times New Roman"/>
        <w:color w:val="6B6B76"/>
        <w:sz w:val="16"/>
        <w:szCs w:val="16"/>
      </w:rPr>
      <w:t xml:space="preserve">Page </w:t>
    </w:r>
    <w:r>
      <w:rPr>
        <w:rFonts w:ascii="Times New Roman" w:cs="Times New Roman" w:eastAsia="Times New Roman" w:hAnsi="Times New Roman"/>
        <w:color w:val="6B6B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jc w:val="right"/>
    </w:pPr>
    <w:r>
      <w:rPr>
        <w:rFonts w:ascii="Times New Roman" w:cs="Times New Roman" w:eastAsia="Times New Roman" w:hAnsi="Times New Roman"/>
        <w:i/>
        <w:iCs/>
        <w:color w:val="6B6B76"/>
        <w:sz w:val="16"/>
        <w:szCs w:val="16"/>
      </w:rPr>
      <w:t xml:space="preserve">CLIC — Statuts et Règlement Intérieur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A0A0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2026-08-03T02:26:51.749Z</dcterms:created>
  <dcterms:modified xsi:type="dcterms:W3CDTF">2026-08-03T02:26:51.768Z</dcterms:modified>
</cp:coreProperties>
</file>

<file path=docProps/custom.xml><?xml version="1.0" encoding="utf-8"?>
<Properties xmlns="http://schemas.openxmlformats.org/officeDocument/2006/custom-properties" xmlns:vt="http://schemas.openxmlformats.org/officeDocument/2006/docPropsVTypes"/>
</file>