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4"/>
        </w:rPr>
        <w:t>Laporan Uji Keamanan dan Performa Blockchain CoffeeChain</w:t>
      </w:r>
    </w:p>
    <w:p>
      <w:pPr>
        <w:spacing w:after="240"/>
      </w:pPr>
      <w:r>
        <w:rPr>
          <w:color w:val="555555"/>
        </w:rPr>
        <w:t>Ruang lingkup: pembayaran Midtrans, transaksi Solana Testnet, trace sertifikasi, receipt, dan kontrol keamanan aplikasi.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52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684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Tanggal laporan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17 June 2026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Repo/branch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BamsHub/CoffeChain - branch v2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Environment blockchain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Solana Testnet (cluster=testnet)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Status build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PASS - npm run build sukses, 39 route terdaftar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Output utama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Receipt otomatis setelah pembayaran paid</w:t>
            </w:r>
          </w:p>
        </w:tc>
      </w:tr>
    </w:tbl>
    <w:p>
      <w:pPr>
        <w:pStyle w:val="Heading1"/>
      </w:pPr>
      <w:r>
        <w:t>Ringkasan Eksekutif</w:t>
      </w:r>
    </w:p>
    <w:p>
      <w:pPr>
        <w:pStyle w:val="ListBullet"/>
        <w:spacing w:after="80"/>
      </w:pPr>
      <w:r>
        <w:t>Aplikasi telah dipaksa menggunakan Solana Testnet untuk URL Explorer dan konfigurasi RPC inti; hardcode cluster devnet pada source telah dibersihkan.</w:t>
      </w:r>
    </w:p>
    <w:p>
      <w:pPr>
        <w:pStyle w:val="ListBullet"/>
        <w:spacing w:after="80"/>
      </w:pPr>
      <w:r>
        <w:t>Alur pembayaran sukses kini otomatis mengarahkan user ke halaman receipt, sehingga user tidak perlu menekan tombol tambahan setelah pembayaran terkonfirmasi.</w:t>
      </w:r>
    </w:p>
    <w:p>
      <w:pPr>
        <w:pStyle w:val="ListBullet"/>
        <w:spacing w:after="80"/>
      </w:pPr>
      <w:r>
        <w:t>Kontrol keamanan kritikal sudah diterapkan: verifikasi signature Midtrans, verifikasi transaksi Solana on-chain, pengecekan receiver wallet, nominal, status transaksi, dan proteksi reusable tx signature.</w:t>
      </w:r>
    </w:p>
    <w:p>
      <w:pPr>
        <w:pStyle w:val="ListBullet"/>
        <w:spacing w:after="80"/>
      </w:pPr>
      <w:r>
        <w:t>Credential sensitif tidak ditemukan dalam kode aplikasi; konfigurasi rahasia tetap memakai environment variable seperti MIDTRANS_SERVER_KEY, JWT_SECRET, SUPABASE_SERVICE_ROLE_KEY, dan MEMO_SIGNER_SECRET_KEY.</w:t>
      </w:r>
    </w:p>
    <w:p>
      <w:pPr>
        <w:pStyle w:val="Heading1"/>
      </w:pPr>
      <w:r>
        <w:t>Hasil Uji Keamanan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Pengujian</w:t>
            </w:r>
          </w:p>
        </w:tc>
        <w:tc>
          <w:tcPr>
            <w:tcW w:type="dxa" w:w="3168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Kontrol yang Diperiksa</w:t>
            </w:r>
          </w:p>
        </w:tc>
        <w:tc>
          <w:tcPr>
            <w:tcW w:type="dxa" w:w="165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Midtrans webhook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Signature SHA-512 divalidasi dengan timingSafeEqual dan server key wajib ada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PASS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Webhook invalid tidak mengubah status order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Midtrans stock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Stok hanya dikurangi ketika status berubah ke paid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PASS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Pending/cancel tidak mengurangi stok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Solana payment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getParsedTransaction, meta.err, receiver wallet, amount, dan duplicate tx dicek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PASS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Mengurangi risiko fake txSignature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Receipt publik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Endpoint hanya mengembalikan data receipt non-sensitif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PASS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Email/phone penuh tidak diekspos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JWT handling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 internal memakai Authorization Bearer, bukan query string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PASS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Token login tidak masuk URL/log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Trace Phantom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Signature harus ada di account keys wallet yang sesuai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PASS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Mencegah signature asing dipakai untuk trace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Secret management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Secret memakai env var; tidak ada private key hardcode di source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PASS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Perlu audit berkala Vercel env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Airdrop testnet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Kode masih mencoba airdrop saat saldo memo signer rendah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7A5A00"/>
                <w:sz w:val="20"/>
              </w:rPr>
              <w:t>WATCH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Aman untuk testnet, jangan aktifkan di mainnet</w:t>
            </w:r>
          </w:p>
        </w:tc>
      </w:tr>
    </w:tbl>
    <w:p>
      <w:pPr>
        <w:pStyle w:val="Heading1"/>
      </w:pPr>
      <w:r>
        <w:t>Hasil Uji Performa Blockchain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52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Nilai</w:t>
            </w:r>
          </w:p>
        </w:tc>
        <w:tc>
          <w:tcPr>
            <w:tcW w:type="dxa" w:w="4392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Interpretasi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RPC commitment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confirmed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Keseimbangan antara kecepatan dan kepastian transaksi testnet.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Polling Solana Pay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5 detik x 72 percobaan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Batas maksimal sekitar 6 menit; menghindari polling tanpa batas.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Function duration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maxDuration 60 detik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Cukup untuk submit dan confirm memo tx di Vercel Function.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Build aplikasi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Next.js build sukses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39 route selesai digenerate, tidak ada error compile.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Receipt sync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Auto sync satu kali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Receipt mencoba status Midtrans/trace sekali saat trace belum tersedia, tanpa spam endpoint.</w:t>
            </w:r>
          </w:p>
        </w:tc>
      </w:tr>
    </w:tbl>
    <w:p>
      <w:pPr>
        <w:pStyle w:val="Heading1"/>
      </w:pPr>
      <w:r>
        <w:t>Validasi Migrasi Devnet ke Testnet</w:t>
      </w:r>
    </w:p>
    <w:p>
      <w:pPr>
        <w:pStyle w:val="ListBullet"/>
        <w:spacing w:after="80"/>
      </w:pPr>
      <w:r>
        <w:t>Konfigurasi pusat berada di src/lib/contractConfig.js: SOLANA_NETWORK = https://api.testnet.solana.com dan DEPLOY_NETWORK = testnet.</w:t>
      </w:r>
    </w:p>
    <w:p>
      <w:pPr>
        <w:pStyle w:val="ListBullet"/>
        <w:spacing w:after="80"/>
      </w:pPr>
      <w:r>
        <w:t>Semua URL Explorer yang dibuat lewat getExplorerTxUrl/getExplorerAddressUrl menghasilkan parameter cluster=testnet.</w:t>
      </w:r>
    </w:p>
    <w:p>
      <w:pPr>
        <w:pStyle w:val="ListBullet"/>
        <w:spacing w:after="80"/>
      </w:pPr>
      <w:r>
        <w:t>normalizeExplorerUrl memaksa URL explorer.solana.com yang lama agar parameter cluster diganti mengikuti DEPLOY_NETWORK.</w:t>
      </w:r>
    </w:p>
    <w:p>
      <w:pPr>
        <w:pStyle w:val="ListBullet"/>
        <w:spacing w:after="80"/>
      </w:pPr>
      <w:r>
        <w:t>Pencarian source untuk string devnet/cluster=devnet bersih pada direktori src setelah perubahan.</w:t>
      </w:r>
    </w:p>
    <w:p>
      <w:pPr>
        <w:pStyle w:val="Heading1"/>
      </w:pPr>
      <w:r>
        <w:t>Validasi Flow Pembayaran dan Receipt</w:t>
      </w:r>
    </w:p>
    <w:p>
      <w:pPr>
        <w:pStyle w:val="ListNumber"/>
        <w:spacing w:after="80"/>
      </w:pPr>
      <w:r>
        <w:t>User melakukan pembayaran melalui Midtrans atau Solana.</w:t>
      </w:r>
    </w:p>
    <w:p>
      <w:pPr>
        <w:pStyle w:val="ListNumber"/>
        <w:spacing w:after="80"/>
      </w:pPr>
      <w:r>
        <w:t>Jika pembayaran menjadi paid, handler frontend otomatis redirect ke /receipt?orderId=...</w:t>
      </w:r>
    </w:p>
    <w:p>
      <w:pPr>
        <w:pStyle w:val="ListNumber"/>
        <w:spacing w:after="80"/>
      </w:pPr>
      <w:r>
        <w:t>Halaman receipt mengambil data dari /api/public/receipt dan menampilkan status, detail order, QR receipt/trace, Coffee ID, dan Solana signature jika tersedia.</w:t>
      </w:r>
    </w:p>
    <w:p>
      <w:pPr>
        <w:pStyle w:val="ListNumber"/>
        <w:spacing w:after="80"/>
      </w:pPr>
      <w:r>
        <w:t>Untuk Midtrans yang trace-nya belum tersedia, receipt melakukan sinkronisasi status sekali dan memuat ulang receipt data.</w:t>
      </w:r>
    </w:p>
    <w:p>
      <w:pPr>
        <w:pStyle w:val="Heading1"/>
      </w:pPr>
      <w:r>
        <w:t>Risiko Residual dan Rekomendasi</w:t>
      </w:r>
    </w:p>
    <w:p>
      <w:pPr>
        <w:pStyle w:val="ListBullet"/>
        <w:spacing w:after="80"/>
      </w:pPr>
      <w:r>
        <w:t>Testnet bukan pengganti audit mainnet. Sebelum produksi, matikan airdrop testnet dan gunakan RPC provider dengan rate limit dan observability.</w:t>
      </w:r>
    </w:p>
    <w:p>
      <w:pPr>
        <w:pStyle w:val="ListBullet"/>
        <w:spacing w:after="80"/>
      </w:pPr>
      <w:r>
        <w:t>Tambahkan end-to-end test otomatis untuk skenario Midtrans paid, pending, cancel, Solana tx invalid, amount mismatch, dan duplicate tx signature.</w:t>
      </w:r>
    </w:p>
    <w:p>
      <w:pPr>
        <w:pStyle w:val="ListBullet"/>
        <w:spacing w:after="80"/>
      </w:pPr>
      <w:r>
        <w:t>Tambahkan rate limiting pada endpoint publik order/receipt/status untuk mengurangi abuse scraping dan polling berlebihan.</w:t>
      </w:r>
    </w:p>
    <w:p>
      <w:pPr>
        <w:pStyle w:val="ListBullet"/>
        <w:spacing w:after="80"/>
      </w:pPr>
      <w:r>
        <w:t>Pastikan Vercel Environment Variables hanya tersedia pada environment yang benar dan rotasi secret setelah demo/testing publik.</w:t>
      </w:r>
    </w:p>
    <w:p>
      <w:pPr>
        <w:pStyle w:val="ListBullet"/>
        <w:spacing w:after="80"/>
      </w:pPr>
      <w:r>
        <w:t>Untuk trace permanen, simpan juga hash payload memo agar receipt dapat membuktikan integritas data order selain signature transaksi.</w:t>
      </w:r>
    </w:p>
    <w:p>
      <w:pPr>
        <w:pStyle w:val="Heading1"/>
      </w:pPr>
      <w:r>
        <w:t>Bukti Uji Terakhir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52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684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Build command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npm run build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Build result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PASS - compiled successfully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Route receipt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/receipt dan /api/public/receipt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Explorer target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https://explorer.solana.com/... ?cluster=testnet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Catatan deployment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Perubahan siap dipush ke Vercel setelah commit</w:t>
            </w:r>
          </w:p>
        </w:tc>
      </w:tr>
    </w:tbl>
    <w:p>
      <w:pPr>
        <w:spacing w:before="240"/>
      </w:pPr>
      <w:r>
        <w:rPr>
          <w:b/>
          <w:color w:val="0B2545"/>
        </w:rPr>
        <w:t>Kesimpulan: CoffeeChain siap untuk pengujian lanjutan di Solana Testnet dengan kontrol pembayaran dan receipt yang lebih aman. Kesiapan mainnet membutuhkan audit lanjutan, hardening rate limit, dan rotasi secret sebelum go-live.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Confidential internal testing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8"/>
      </w:rPr>
      <w:t>CoffeeChain - Laporan Uji Keamanan &amp; Performa Blockchain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