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9C24F" w14:textId="698A56D0" w:rsidR="004C18AD" w:rsidRPr="00B82C77" w:rsidRDefault="004C18AD">
      <w:pPr>
        <w:rPr>
          <w:sz w:val="20"/>
          <w:szCs w:val="20"/>
        </w:rPr>
      </w:pPr>
      <w:r w:rsidRPr="00B82C77">
        <w:rPr>
          <w:sz w:val="20"/>
          <w:szCs w:val="20"/>
        </w:rPr>
        <w:t xml:space="preserve">In the financial report of NAF, they </w:t>
      </w:r>
      <w:r w:rsidR="003312E5">
        <w:rPr>
          <w:sz w:val="20"/>
          <w:szCs w:val="20"/>
        </w:rPr>
        <w:t>have 3 tables.</w:t>
      </w:r>
    </w:p>
    <w:p w14:paraId="3F03AA07" w14:textId="3DEBB307" w:rsidR="004C18AD" w:rsidRPr="00B82C77" w:rsidRDefault="004C18AD" w:rsidP="004C18AD">
      <w:pPr>
        <w:pStyle w:val="ListParagraph"/>
        <w:numPr>
          <w:ilvl w:val="0"/>
          <w:numId w:val="2"/>
        </w:numPr>
        <w:rPr>
          <w:sz w:val="20"/>
          <w:szCs w:val="20"/>
        </w:rPr>
      </w:pPr>
      <w:r w:rsidRPr="00B82C77">
        <w:rPr>
          <w:sz w:val="20"/>
          <w:szCs w:val="20"/>
        </w:rPr>
        <w:t xml:space="preserve">Assets vs liability </w:t>
      </w:r>
    </w:p>
    <w:p w14:paraId="0CE2F1BE" w14:textId="51BFC460" w:rsidR="004C18AD" w:rsidRDefault="004C18AD" w:rsidP="004C18AD">
      <w:pPr>
        <w:pStyle w:val="ListParagraph"/>
        <w:numPr>
          <w:ilvl w:val="0"/>
          <w:numId w:val="2"/>
        </w:numPr>
        <w:rPr>
          <w:sz w:val="20"/>
          <w:szCs w:val="20"/>
        </w:rPr>
      </w:pPr>
      <w:r w:rsidRPr="00B82C77">
        <w:rPr>
          <w:sz w:val="20"/>
          <w:szCs w:val="20"/>
        </w:rPr>
        <w:t>Revenue vs expense</w:t>
      </w:r>
    </w:p>
    <w:p w14:paraId="7319A8E3" w14:textId="53124305" w:rsidR="003312E5" w:rsidRPr="00B82C77" w:rsidRDefault="003312E5" w:rsidP="004C18AD">
      <w:pPr>
        <w:pStyle w:val="ListParagraph"/>
        <w:numPr>
          <w:ilvl w:val="0"/>
          <w:numId w:val="2"/>
        </w:numPr>
        <w:rPr>
          <w:sz w:val="20"/>
          <w:szCs w:val="20"/>
        </w:rPr>
      </w:pPr>
      <w:r>
        <w:rPr>
          <w:sz w:val="20"/>
          <w:szCs w:val="20"/>
        </w:rPr>
        <w:t>Cash flow</w:t>
      </w:r>
    </w:p>
    <w:p w14:paraId="7F819F68" w14:textId="593B21DA" w:rsidR="004C18AD" w:rsidRPr="00B82C77" w:rsidRDefault="004C18AD" w:rsidP="004C18AD">
      <w:pPr>
        <w:rPr>
          <w:sz w:val="20"/>
          <w:szCs w:val="20"/>
        </w:rPr>
      </w:pPr>
      <w:r w:rsidRPr="00B82C77">
        <w:rPr>
          <w:sz w:val="20"/>
          <w:szCs w:val="20"/>
        </w:rPr>
        <w:t>Net assets = total assets – total liability</w:t>
      </w:r>
    </w:p>
    <w:p w14:paraId="125042BF" w14:textId="56A93855" w:rsidR="004C18AD" w:rsidRPr="00B82C77" w:rsidRDefault="004C18AD" w:rsidP="004C18AD">
      <w:pPr>
        <w:rPr>
          <w:sz w:val="20"/>
          <w:szCs w:val="20"/>
        </w:rPr>
      </w:pPr>
      <w:r w:rsidRPr="00B82C77">
        <w:rPr>
          <w:sz w:val="20"/>
          <w:szCs w:val="20"/>
        </w:rPr>
        <w:t xml:space="preserve">Beginning net assets + (revenue-expense) = new net assets. </w:t>
      </w:r>
    </w:p>
    <w:p w14:paraId="1DCD1428" w14:textId="640C118A" w:rsidR="00006F07" w:rsidRPr="00B82C77" w:rsidRDefault="00006F07">
      <w:pPr>
        <w:rPr>
          <w:sz w:val="20"/>
          <w:szCs w:val="20"/>
        </w:rPr>
      </w:pPr>
      <w:r w:rsidRPr="00B82C77">
        <w:rPr>
          <w:sz w:val="20"/>
          <w:szCs w:val="20"/>
        </w:rPr>
        <w:t>Naf23:</w:t>
      </w:r>
    </w:p>
    <w:p w14:paraId="3DBACABA" w14:textId="0D995E65" w:rsidR="00006F07" w:rsidRPr="00B82C77" w:rsidRDefault="00006F07" w:rsidP="00006F07">
      <w:pPr>
        <w:pStyle w:val="ListParagraph"/>
        <w:numPr>
          <w:ilvl w:val="0"/>
          <w:numId w:val="1"/>
        </w:numPr>
        <w:rPr>
          <w:sz w:val="20"/>
          <w:szCs w:val="20"/>
        </w:rPr>
      </w:pPr>
      <w:r w:rsidRPr="00B82C77">
        <w:rPr>
          <w:sz w:val="20"/>
          <w:szCs w:val="20"/>
        </w:rPr>
        <w:t xml:space="preserve">Total </w:t>
      </w:r>
      <w:r w:rsidR="004861E3" w:rsidRPr="00B82C77">
        <w:rPr>
          <w:sz w:val="20"/>
          <w:szCs w:val="20"/>
        </w:rPr>
        <w:t>current a</w:t>
      </w:r>
      <w:r w:rsidRPr="00B82C77">
        <w:rPr>
          <w:sz w:val="20"/>
          <w:szCs w:val="20"/>
        </w:rPr>
        <w:t>ssets</w:t>
      </w:r>
      <w:r w:rsidRPr="00B82C77">
        <w:rPr>
          <w:sz w:val="20"/>
          <w:szCs w:val="20"/>
        </w:rPr>
        <w:t xml:space="preserve"> </w:t>
      </w:r>
      <w:proofErr w:type="gramStart"/>
      <w:r w:rsidRPr="00B82C77">
        <w:rPr>
          <w:sz w:val="20"/>
          <w:szCs w:val="20"/>
        </w:rPr>
        <w:t>has</w:t>
      </w:r>
      <w:proofErr w:type="gramEnd"/>
      <w:r w:rsidRPr="00B82C77">
        <w:rPr>
          <w:sz w:val="20"/>
          <w:szCs w:val="20"/>
        </w:rPr>
        <w:t xml:space="preserve"> decreased from</w:t>
      </w:r>
      <w:r w:rsidR="00840EDF" w:rsidRPr="00B82C77">
        <w:rPr>
          <w:sz w:val="20"/>
          <w:szCs w:val="20"/>
        </w:rPr>
        <w:t xml:space="preserve"> $</w:t>
      </w:r>
      <w:r w:rsidR="0078365F" w:rsidRPr="00B82C77">
        <w:rPr>
          <w:sz w:val="20"/>
          <w:szCs w:val="20"/>
        </w:rPr>
        <w:t xml:space="preserve"> </w:t>
      </w:r>
      <w:r w:rsidR="004861E3" w:rsidRPr="00B82C77">
        <w:rPr>
          <w:sz w:val="20"/>
          <w:szCs w:val="20"/>
        </w:rPr>
        <w:t>2,211,565</w:t>
      </w:r>
      <w:r w:rsidR="004861E3" w:rsidRPr="00B82C77">
        <w:rPr>
          <w:sz w:val="20"/>
          <w:szCs w:val="20"/>
        </w:rPr>
        <w:t xml:space="preserve"> </w:t>
      </w:r>
      <w:r w:rsidR="00840EDF" w:rsidRPr="00B82C77">
        <w:rPr>
          <w:sz w:val="20"/>
          <w:szCs w:val="20"/>
        </w:rPr>
        <w:t>in 2022 to</w:t>
      </w:r>
      <w:r w:rsidRPr="00B82C77">
        <w:rPr>
          <w:sz w:val="20"/>
          <w:szCs w:val="20"/>
        </w:rPr>
        <w:t xml:space="preserve"> </w:t>
      </w:r>
      <w:r w:rsidR="00840EDF" w:rsidRPr="00B82C77">
        <w:rPr>
          <w:sz w:val="20"/>
          <w:szCs w:val="20"/>
        </w:rPr>
        <w:t>$</w:t>
      </w:r>
      <w:r w:rsidR="0078365F" w:rsidRPr="00B82C77">
        <w:rPr>
          <w:sz w:val="20"/>
          <w:szCs w:val="20"/>
        </w:rPr>
        <w:t xml:space="preserve"> </w:t>
      </w:r>
      <w:r w:rsidR="004861E3" w:rsidRPr="00B82C77">
        <w:rPr>
          <w:sz w:val="20"/>
          <w:szCs w:val="20"/>
        </w:rPr>
        <w:t>1,270,883</w:t>
      </w:r>
      <w:r w:rsidR="004861E3" w:rsidRPr="00B82C77">
        <w:rPr>
          <w:sz w:val="20"/>
          <w:szCs w:val="20"/>
        </w:rPr>
        <w:t xml:space="preserve"> </w:t>
      </w:r>
      <w:r w:rsidRPr="00B82C77">
        <w:rPr>
          <w:sz w:val="20"/>
          <w:szCs w:val="20"/>
        </w:rPr>
        <w:t>in 202</w:t>
      </w:r>
      <w:r w:rsidR="00840EDF" w:rsidRPr="00B82C77">
        <w:rPr>
          <w:sz w:val="20"/>
          <w:szCs w:val="20"/>
        </w:rPr>
        <w:t>3.</w:t>
      </w:r>
    </w:p>
    <w:p w14:paraId="66B80D73" w14:textId="2046297A" w:rsidR="0078365F" w:rsidRPr="00B82C77" w:rsidRDefault="0078365F" w:rsidP="00006F07">
      <w:pPr>
        <w:pStyle w:val="ListParagraph"/>
        <w:numPr>
          <w:ilvl w:val="0"/>
          <w:numId w:val="1"/>
        </w:numPr>
        <w:rPr>
          <w:sz w:val="20"/>
          <w:szCs w:val="20"/>
        </w:rPr>
      </w:pPr>
      <w:r w:rsidRPr="00B82C77">
        <w:rPr>
          <w:sz w:val="20"/>
          <w:szCs w:val="20"/>
        </w:rPr>
        <w:t>Total</w:t>
      </w:r>
      <w:r w:rsidRPr="00B82C77">
        <w:rPr>
          <w:sz w:val="20"/>
          <w:szCs w:val="20"/>
        </w:rPr>
        <w:t xml:space="preserve"> </w:t>
      </w:r>
      <w:r w:rsidR="004861E3" w:rsidRPr="00B82C77">
        <w:rPr>
          <w:sz w:val="20"/>
          <w:szCs w:val="20"/>
        </w:rPr>
        <w:t>L</w:t>
      </w:r>
      <w:r w:rsidRPr="00B82C77">
        <w:rPr>
          <w:sz w:val="20"/>
          <w:szCs w:val="20"/>
        </w:rPr>
        <w:t>iability</w:t>
      </w:r>
      <w:r w:rsidRPr="00B82C77">
        <w:rPr>
          <w:sz w:val="20"/>
          <w:szCs w:val="20"/>
        </w:rPr>
        <w:t xml:space="preserve"> has decreased from $ </w:t>
      </w:r>
      <w:r w:rsidRPr="00B82C77">
        <w:rPr>
          <w:sz w:val="20"/>
          <w:szCs w:val="20"/>
        </w:rPr>
        <w:t>581,978</w:t>
      </w:r>
      <w:r w:rsidRPr="00B82C77">
        <w:rPr>
          <w:sz w:val="20"/>
          <w:szCs w:val="20"/>
        </w:rPr>
        <w:t xml:space="preserve"> in 2022 to $ </w:t>
      </w:r>
      <w:r w:rsidRPr="00B82C77">
        <w:rPr>
          <w:sz w:val="20"/>
          <w:szCs w:val="20"/>
        </w:rPr>
        <w:t>501,880</w:t>
      </w:r>
      <w:r w:rsidRPr="00B82C77">
        <w:rPr>
          <w:sz w:val="20"/>
          <w:szCs w:val="20"/>
        </w:rPr>
        <w:t xml:space="preserve"> in 2023.</w:t>
      </w:r>
    </w:p>
    <w:p w14:paraId="7FDDF5A5" w14:textId="1FBD09DD" w:rsidR="0054273A" w:rsidRPr="00B82C77" w:rsidRDefault="0054273A" w:rsidP="00006F07">
      <w:pPr>
        <w:pStyle w:val="ListParagraph"/>
        <w:numPr>
          <w:ilvl w:val="0"/>
          <w:numId w:val="1"/>
        </w:numPr>
        <w:rPr>
          <w:sz w:val="20"/>
          <w:szCs w:val="20"/>
        </w:rPr>
      </w:pPr>
      <w:r w:rsidRPr="00B82C77">
        <w:rPr>
          <w:sz w:val="20"/>
          <w:szCs w:val="20"/>
        </w:rPr>
        <w:t xml:space="preserve">Total support and revenue </w:t>
      </w:r>
      <w:proofErr w:type="gramStart"/>
      <w:r w:rsidRPr="00B82C77">
        <w:rPr>
          <w:sz w:val="20"/>
          <w:szCs w:val="20"/>
        </w:rPr>
        <w:t>has</w:t>
      </w:r>
      <w:proofErr w:type="gramEnd"/>
      <w:r w:rsidRPr="00B82C77">
        <w:rPr>
          <w:sz w:val="20"/>
          <w:szCs w:val="20"/>
        </w:rPr>
        <w:t xml:space="preserve"> decreased from $ </w:t>
      </w:r>
      <w:r w:rsidRPr="00B82C77">
        <w:rPr>
          <w:sz w:val="20"/>
          <w:szCs w:val="20"/>
        </w:rPr>
        <w:t>3,908,554</w:t>
      </w:r>
      <w:r w:rsidRPr="00B82C77">
        <w:rPr>
          <w:sz w:val="20"/>
          <w:szCs w:val="20"/>
        </w:rPr>
        <w:t xml:space="preserve"> in 2022 to $ </w:t>
      </w:r>
      <w:r w:rsidRPr="00B82C77">
        <w:rPr>
          <w:sz w:val="20"/>
          <w:szCs w:val="20"/>
        </w:rPr>
        <w:t>3,546,026</w:t>
      </w:r>
      <w:r w:rsidRPr="00B82C77">
        <w:rPr>
          <w:sz w:val="20"/>
          <w:szCs w:val="20"/>
        </w:rPr>
        <w:t xml:space="preserve"> in 2023.</w:t>
      </w:r>
    </w:p>
    <w:p w14:paraId="599F6E73" w14:textId="53CBF452" w:rsidR="0078365F" w:rsidRPr="00B82C77" w:rsidRDefault="0054273A" w:rsidP="00006F07">
      <w:pPr>
        <w:pStyle w:val="ListParagraph"/>
        <w:numPr>
          <w:ilvl w:val="0"/>
          <w:numId w:val="1"/>
        </w:numPr>
        <w:rPr>
          <w:sz w:val="20"/>
          <w:szCs w:val="20"/>
        </w:rPr>
      </w:pPr>
      <w:r w:rsidRPr="00B82C77">
        <w:rPr>
          <w:sz w:val="20"/>
          <w:szCs w:val="20"/>
        </w:rPr>
        <w:t xml:space="preserve"> Total expenses </w:t>
      </w:r>
      <w:proofErr w:type="gramStart"/>
      <w:r w:rsidRPr="00B82C77">
        <w:rPr>
          <w:sz w:val="20"/>
          <w:szCs w:val="20"/>
        </w:rPr>
        <w:t>has</w:t>
      </w:r>
      <w:proofErr w:type="gramEnd"/>
      <w:r w:rsidRPr="00B82C77">
        <w:rPr>
          <w:sz w:val="20"/>
          <w:szCs w:val="20"/>
        </w:rPr>
        <w:t xml:space="preserve"> increased from $ </w:t>
      </w:r>
      <w:r w:rsidRPr="00B82C77">
        <w:rPr>
          <w:sz w:val="20"/>
          <w:szCs w:val="20"/>
        </w:rPr>
        <w:t>4,131,189</w:t>
      </w:r>
      <w:r w:rsidRPr="00B82C77">
        <w:rPr>
          <w:sz w:val="20"/>
          <w:szCs w:val="20"/>
        </w:rPr>
        <w:t xml:space="preserve"> in 2022 to $ </w:t>
      </w:r>
      <w:r w:rsidRPr="00B82C77">
        <w:rPr>
          <w:sz w:val="20"/>
          <w:szCs w:val="20"/>
        </w:rPr>
        <w:t>4,996,458</w:t>
      </w:r>
      <w:r w:rsidRPr="00B82C77">
        <w:rPr>
          <w:sz w:val="20"/>
          <w:szCs w:val="20"/>
        </w:rPr>
        <w:t xml:space="preserve"> in 2023.</w:t>
      </w:r>
    </w:p>
    <w:p w14:paraId="6B93C0B7" w14:textId="77777777" w:rsidR="00626382" w:rsidRPr="00B82C77" w:rsidRDefault="00626382" w:rsidP="00626382">
      <w:pPr>
        <w:rPr>
          <w:sz w:val="20"/>
          <w:szCs w:val="20"/>
        </w:rPr>
      </w:pPr>
    </w:p>
    <w:tbl>
      <w:tblPr>
        <w:tblStyle w:val="TableGrid"/>
        <w:tblW w:w="10939" w:type="dxa"/>
        <w:tblLook w:val="04A0" w:firstRow="1" w:lastRow="0" w:firstColumn="1" w:lastColumn="0" w:noHBand="0" w:noVBand="1"/>
      </w:tblPr>
      <w:tblGrid>
        <w:gridCol w:w="1885"/>
        <w:gridCol w:w="9054"/>
      </w:tblGrid>
      <w:tr w:rsidR="00006F07" w:rsidRPr="00B82C77" w14:paraId="68C4F4B9" w14:textId="77777777" w:rsidTr="00E205BE">
        <w:trPr>
          <w:trHeight w:val="312"/>
        </w:trPr>
        <w:tc>
          <w:tcPr>
            <w:tcW w:w="1885" w:type="dxa"/>
          </w:tcPr>
          <w:p w14:paraId="0401C2C4" w14:textId="6A68E8C0" w:rsidR="00006F07" w:rsidRPr="00B82C77" w:rsidRDefault="00006F07">
            <w:pPr>
              <w:rPr>
                <w:sz w:val="20"/>
                <w:szCs w:val="20"/>
              </w:rPr>
            </w:pPr>
            <w:r w:rsidRPr="00B82C77">
              <w:rPr>
                <w:sz w:val="20"/>
                <w:szCs w:val="20"/>
              </w:rPr>
              <w:t>questions</w:t>
            </w:r>
          </w:p>
        </w:tc>
        <w:tc>
          <w:tcPr>
            <w:tcW w:w="9054" w:type="dxa"/>
          </w:tcPr>
          <w:p w14:paraId="529993B9" w14:textId="5AA23301" w:rsidR="00006F07" w:rsidRPr="00B82C77" w:rsidRDefault="00006F07">
            <w:pPr>
              <w:rPr>
                <w:sz w:val="20"/>
                <w:szCs w:val="20"/>
              </w:rPr>
            </w:pPr>
            <w:r w:rsidRPr="00B82C77">
              <w:rPr>
                <w:sz w:val="20"/>
                <w:szCs w:val="20"/>
              </w:rPr>
              <w:t>answer</w:t>
            </w:r>
          </w:p>
        </w:tc>
      </w:tr>
      <w:tr w:rsidR="00006F07" w:rsidRPr="00B82C77" w14:paraId="7AA38B4B" w14:textId="77777777" w:rsidTr="00E205BE">
        <w:trPr>
          <w:trHeight w:val="298"/>
        </w:trPr>
        <w:tc>
          <w:tcPr>
            <w:tcW w:w="1885" w:type="dxa"/>
          </w:tcPr>
          <w:p w14:paraId="3A845E0F" w14:textId="253042E4" w:rsidR="00006F07" w:rsidRPr="00B82C77" w:rsidRDefault="00B82C77">
            <w:pPr>
              <w:rPr>
                <w:sz w:val="20"/>
                <w:szCs w:val="20"/>
              </w:rPr>
            </w:pPr>
            <w:r w:rsidRPr="00B82C77">
              <w:rPr>
                <w:sz w:val="20"/>
                <w:szCs w:val="20"/>
              </w:rPr>
              <w:t>What factors contributed to the decrease in cash and cash equivalents from 2022 to 2023, and how is this linked to the foundation's liquidity management strategy as described in the notes?</w:t>
            </w:r>
          </w:p>
        </w:tc>
        <w:tc>
          <w:tcPr>
            <w:tcW w:w="9054" w:type="dxa"/>
          </w:tcPr>
          <w:p w14:paraId="1B8A5DB9" w14:textId="77777777" w:rsidR="00C81CC4" w:rsidRPr="00C81CC4" w:rsidRDefault="00C81CC4" w:rsidP="00C81CC4">
            <w:pPr>
              <w:spacing w:after="0" w:line="240" w:lineRule="auto"/>
              <w:rPr>
                <w:sz w:val="20"/>
                <w:szCs w:val="20"/>
              </w:rPr>
            </w:pPr>
            <w:r w:rsidRPr="00C81CC4">
              <w:rPr>
                <w:sz w:val="20"/>
                <w:szCs w:val="20"/>
              </w:rPr>
              <w:t>Step 1 (Data from Financial Statements):</w:t>
            </w:r>
          </w:p>
          <w:p w14:paraId="2260E9CA" w14:textId="77777777" w:rsidR="00C81CC4" w:rsidRDefault="00C81CC4" w:rsidP="00C81CC4">
            <w:pPr>
              <w:rPr>
                <w:sz w:val="20"/>
                <w:szCs w:val="20"/>
              </w:rPr>
            </w:pPr>
            <w:r w:rsidRPr="00C81CC4">
              <w:rPr>
                <w:sz w:val="20"/>
                <w:szCs w:val="20"/>
              </w:rPr>
              <w:t>Cash and cash equivalents dropped from $1,969,164 in 2022 to $1,008,716 in 2023</w:t>
            </w:r>
            <w:r w:rsidRPr="00C81CC4">
              <w:rPr>
                <w:rFonts w:ascii="Arial" w:hAnsi="Arial" w:cs="Arial"/>
                <w:sz w:val="20"/>
                <w:szCs w:val="20"/>
              </w:rPr>
              <w:t>​</w:t>
            </w:r>
            <w:r w:rsidRPr="00C81CC4">
              <w:rPr>
                <w:sz w:val="20"/>
                <w:szCs w:val="20"/>
              </w:rPr>
              <w:t>(naf23_data).</w:t>
            </w:r>
          </w:p>
          <w:p w14:paraId="0E90ADC1" w14:textId="77777777" w:rsidR="00C81CC4" w:rsidRPr="00C81CC4" w:rsidRDefault="00C81CC4" w:rsidP="00C81CC4">
            <w:pPr>
              <w:spacing w:after="0" w:line="240" w:lineRule="auto"/>
              <w:rPr>
                <w:sz w:val="20"/>
                <w:szCs w:val="20"/>
              </w:rPr>
            </w:pPr>
          </w:p>
          <w:p w14:paraId="4127F3DF" w14:textId="5F6671EB" w:rsidR="00C81CC4" w:rsidRPr="00C81CC4" w:rsidRDefault="00C81CC4" w:rsidP="00C81CC4">
            <w:pPr>
              <w:spacing w:after="0" w:line="240" w:lineRule="auto"/>
              <w:rPr>
                <w:sz w:val="20"/>
                <w:szCs w:val="20"/>
              </w:rPr>
            </w:pPr>
            <w:r w:rsidRPr="00C81CC4">
              <w:rPr>
                <w:sz w:val="20"/>
                <w:szCs w:val="20"/>
              </w:rPr>
              <w:t>Step 2 (Explanation in Notes):</w:t>
            </w:r>
          </w:p>
          <w:p w14:paraId="34C387A8" w14:textId="77777777" w:rsidR="00C81CC4" w:rsidRDefault="00C81CC4" w:rsidP="00C81CC4">
            <w:pPr>
              <w:rPr>
                <w:sz w:val="20"/>
                <w:szCs w:val="20"/>
              </w:rPr>
            </w:pPr>
            <w:r w:rsidRPr="00C81CC4">
              <w:rPr>
                <w:sz w:val="20"/>
                <w:szCs w:val="20"/>
              </w:rPr>
              <w:t>The notes state that the foundation follows a liquidity management strategy that involves investing excess cash in short-term investments such as money market funds, certificates of deposit, and savings accounts. This ensures that only cash required for monthly operations is kept liquid</w:t>
            </w:r>
            <w:r w:rsidRPr="00C81CC4">
              <w:rPr>
                <w:rFonts w:ascii="Arial" w:hAnsi="Arial" w:cs="Arial"/>
                <w:sz w:val="20"/>
                <w:szCs w:val="20"/>
              </w:rPr>
              <w:t>​</w:t>
            </w:r>
            <w:r w:rsidRPr="00C81CC4">
              <w:rPr>
                <w:sz w:val="20"/>
                <w:szCs w:val="20"/>
              </w:rPr>
              <w:t>(naf23_notes).</w:t>
            </w:r>
          </w:p>
          <w:p w14:paraId="797EE629" w14:textId="77777777" w:rsidR="00C81CC4" w:rsidRPr="00C81CC4" w:rsidRDefault="00C81CC4" w:rsidP="00C81CC4">
            <w:pPr>
              <w:spacing w:after="0" w:line="240" w:lineRule="auto"/>
              <w:rPr>
                <w:sz w:val="20"/>
                <w:szCs w:val="20"/>
              </w:rPr>
            </w:pPr>
          </w:p>
          <w:p w14:paraId="1BDC232A" w14:textId="2A7A0B01" w:rsidR="00C81CC4" w:rsidRPr="00C81CC4" w:rsidRDefault="00C81CC4" w:rsidP="00C81CC4">
            <w:pPr>
              <w:spacing w:after="0" w:line="240" w:lineRule="auto"/>
              <w:rPr>
                <w:sz w:val="20"/>
                <w:szCs w:val="20"/>
              </w:rPr>
            </w:pPr>
            <w:r w:rsidRPr="00C81CC4">
              <w:rPr>
                <w:sz w:val="20"/>
                <w:szCs w:val="20"/>
              </w:rPr>
              <w:t>Step 3 (Reasoning):</w:t>
            </w:r>
          </w:p>
          <w:p w14:paraId="673DBB80" w14:textId="77777777" w:rsidR="00C81CC4" w:rsidRDefault="00C81CC4" w:rsidP="00C81CC4">
            <w:pPr>
              <w:rPr>
                <w:sz w:val="20"/>
                <w:szCs w:val="20"/>
              </w:rPr>
            </w:pPr>
            <w:r w:rsidRPr="00C81CC4">
              <w:rPr>
                <w:sz w:val="20"/>
                <w:szCs w:val="20"/>
              </w:rPr>
              <w:t>This strategy is likely a key reason for the reduction in cash, as the foundation invests any excess cash beyond its immediate operating needs. The movement of funds into short-term investments is intended to optimize liquidity management.</w:t>
            </w:r>
          </w:p>
          <w:p w14:paraId="01BA2DDE" w14:textId="77777777" w:rsidR="00C81CC4" w:rsidRPr="00C81CC4" w:rsidRDefault="00C81CC4" w:rsidP="00C81CC4">
            <w:pPr>
              <w:spacing w:after="0" w:line="240" w:lineRule="auto"/>
              <w:rPr>
                <w:sz w:val="20"/>
                <w:szCs w:val="20"/>
              </w:rPr>
            </w:pPr>
          </w:p>
          <w:p w14:paraId="62E5E310" w14:textId="62558670" w:rsidR="00C81CC4" w:rsidRPr="00C81CC4" w:rsidRDefault="00FF325E" w:rsidP="00C81CC4">
            <w:pPr>
              <w:spacing w:after="0" w:line="240" w:lineRule="auto"/>
              <w:rPr>
                <w:sz w:val="20"/>
                <w:szCs w:val="20"/>
              </w:rPr>
            </w:pPr>
            <w:r>
              <w:rPr>
                <w:sz w:val="20"/>
                <w:szCs w:val="20"/>
              </w:rPr>
              <w:t>Answer</w:t>
            </w:r>
            <w:r w:rsidR="00C81CC4" w:rsidRPr="00C81CC4">
              <w:rPr>
                <w:sz w:val="20"/>
                <w:szCs w:val="20"/>
              </w:rPr>
              <w:t>:</w:t>
            </w:r>
          </w:p>
          <w:p w14:paraId="03193F71" w14:textId="2844C7E3" w:rsidR="00006F07" w:rsidRPr="00B82C77" w:rsidRDefault="00C81CC4" w:rsidP="00C81CC4">
            <w:pPr>
              <w:rPr>
                <w:sz w:val="20"/>
                <w:szCs w:val="20"/>
              </w:rPr>
            </w:pPr>
            <w:r w:rsidRPr="00C81CC4">
              <w:rPr>
                <w:sz w:val="20"/>
                <w:szCs w:val="20"/>
              </w:rPr>
              <w:t>The decrease in cash and cash equivalents in 2023 is partly due to the foundation's liquidity management strategy, which involves investing excess cash to ensure only the necessary amount is kept available for current operations.</w:t>
            </w:r>
          </w:p>
        </w:tc>
      </w:tr>
      <w:tr w:rsidR="00006F07" w:rsidRPr="00B82C77" w14:paraId="63C246A1" w14:textId="77777777" w:rsidTr="00E205BE">
        <w:trPr>
          <w:trHeight w:val="312"/>
        </w:trPr>
        <w:tc>
          <w:tcPr>
            <w:tcW w:w="1885" w:type="dxa"/>
          </w:tcPr>
          <w:p w14:paraId="47B3FF74" w14:textId="19B4D08B" w:rsidR="00006F07" w:rsidRPr="00B82C77" w:rsidRDefault="00E205BE">
            <w:pPr>
              <w:rPr>
                <w:sz w:val="20"/>
                <w:szCs w:val="20"/>
              </w:rPr>
            </w:pPr>
            <w:r w:rsidRPr="00E205BE">
              <w:rPr>
                <w:sz w:val="20"/>
                <w:szCs w:val="20"/>
              </w:rPr>
              <w:t>Why did deferred revenue increase significantly in 2023, and how does this relate to the foundation’s funding strategy as outlined in the notes?</w:t>
            </w:r>
          </w:p>
        </w:tc>
        <w:tc>
          <w:tcPr>
            <w:tcW w:w="9054" w:type="dxa"/>
          </w:tcPr>
          <w:p w14:paraId="1242D39B" w14:textId="77777777" w:rsidR="00E205BE" w:rsidRPr="00E205BE" w:rsidRDefault="00E205BE" w:rsidP="00E205BE">
            <w:pPr>
              <w:spacing w:after="0" w:line="240" w:lineRule="auto"/>
              <w:rPr>
                <w:sz w:val="20"/>
                <w:szCs w:val="20"/>
              </w:rPr>
            </w:pPr>
            <w:r w:rsidRPr="00E205BE">
              <w:rPr>
                <w:sz w:val="20"/>
                <w:szCs w:val="20"/>
              </w:rPr>
              <w:t>Step 1 (Data from Financial Statements):</w:t>
            </w:r>
          </w:p>
          <w:p w14:paraId="684B162B" w14:textId="77777777" w:rsidR="00E205BE" w:rsidRPr="00E205BE" w:rsidRDefault="00E205BE" w:rsidP="00E205BE">
            <w:pPr>
              <w:spacing w:after="0" w:line="240" w:lineRule="auto"/>
              <w:rPr>
                <w:sz w:val="20"/>
                <w:szCs w:val="20"/>
              </w:rPr>
            </w:pPr>
            <w:r w:rsidRPr="00E205BE">
              <w:rPr>
                <w:sz w:val="20"/>
                <w:szCs w:val="20"/>
              </w:rPr>
              <w:t>Deferred revenue increased from $22,291 in 2022 to $109,810 in 2023</w:t>
            </w:r>
            <w:r w:rsidRPr="00E205BE">
              <w:rPr>
                <w:rFonts w:ascii="Arial" w:hAnsi="Arial" w:cs="Arial"/>
                <w:sz w:val="20"/>
                <w:szCs w:val="20"/>
              </w:rPr>
              <w:t>​</w:t>
            </w:r>
            <w:r w:rsidRPr="00E205BE">
              <w:rPr>
                <w:sz w:val="20"/>
                <w:szCs w:val="20"/>
              </w:rPr>
              <w:t>(naf23_data).</w:t>
            </w:r>
          </w:p>
          <w:p w14:paraId="304188A9" w14:textId="77777777" w:rsidR="00E205BE" w:rsidRDefault="00E205BE" w:rsidP="00E205BE">
            <w:pPr>
              <w:rPr>
                <w:sz w:val="20"/>
                <w:szCs w:val="20"/>
              </w:rPr>
            </w:pPr>
          </w:p>
          <w:p w14:paraId="0E1E1B62" w14:textId="5D2486EC" w:rsidR="00E205BE" w:rsidRPr="00E205BE" w:rsidRDefault="00E205BE" w:rsidP="00E205BE">
            <w:pPr>
              <w:spacing w:after="0" w:line="240" w:lineRule="auto"/>
              <w:rPr>
                <w:sz w:val="20"/>
                <w:szCs w:val="20"/>
              </w:rPr>
            </w:pPr>
            <w:r w:rsidRPr="00E205BE">
              <w:rPr>
                <w:sz w:val="20"/>
                <w:szCs w:val="20"/>
              </w:rPr>
              <w:t>Step 2 (Explanation in Notes):</w:t>
            </w:r>
          </w:p>
          <w:p w14:paraId="340D30E1" w14:textId="77777777" w:rsidR="00E205BE" w:rsidRPr="00E205BE" w:rsidRDefault="00E205BE" w:rsidP="00E205BE">
            <w:pPr>
              <w:spacing w:after="0" w:line="240" w:lineRule="auto"/>
              <w:rPr>
                <w:sz w:val="20"/>
                <w:szCs w:val="20"/>
              </w:rPr>
            </w:pPr>
            <w:r w:rsidRPr="00E205BE">
              <w:rPr>
                <w:sz w:val="20"/>
                <w:szCs w:val="20"/>
              </w:rPr>
              <w:t>According to the notes, the increase in deferred revenue is primarily driven by advance payments for the Drug Development Collaborative (DDC) agreements and conference income</w:t>
            </w:r>
            <w:r w:rsidRPr="00E205BE">
              <w:rPr>
                <w:rFonts w:ascii="Arial" w:hAnsi="Arial" w:cs="Arial"/>
                <w:sz w:val="20"/>
                <w:szCs w:val="20"/>
              </w:rPr>
              <w:t>​</w:t>
            </w:r>
            <w:r w:rsidRPr="00E205BE">
              <w:rPr>
                <w:sz w:val="20"/>
                <w:szCs w:val="20"/>
              </w:rPr>
              <w:t>(naf23_notes).</w:t>
            </w:r>
          </w:p>
          <w:p w14:paraId="7918FD01" w14:textId="77777777" w:rsidR="00E205BE" w:rsidRPr="00E205BE" w:rsidRDefault="00E205BE" w:rsidP="00E205BE">
            <w:pPr>
              <w:spacing w:after="0" w:line="240" w:lineRule="auto"/>
              <w:rPr>
                <w:sz w:val="20"/>
                <w:szCs w:val="20"/>
              </w:rPr>
            </w:pPr>
            <w:r w:rsidRPr="00E205BE">
              <w:rPr>
                <w:sz w:val="20"/>
                <w:szCs w:val="20"/>
              </w:rPr>
              <w:t>Specifically, the notes state:</w:t>
            </w:r>
          </w:p>
          <w:p w14:paraId="2B45D2D3" w14:textId="5D58E92B" w:rsidR="00E205BE" w:rsidRDefault="00E205BE" w:rsidP="00E205BE">
            <w:pPr>
              <w:rPr>
                <w:sz w:val="20"/>
                <w:szCs w:val="20"/>
              </w:rPr>
            </w:pPr>
            <w:r w:rsidRPr="00E205BE">
              <w:rPr>
                <w:sz w:val="20"/>
                <w:szCs w:val="20"/>
              </w:rPr>
              <w:t xml:space="preserve">"Deferred revenue consists of payments received in advance that relate to the Collaborative and conferences. All deferred revenue will be recognized over the next year. Deferred conference revenue was $9,810 and $22,290 for the years ended December 31, </w:t>
            </w:r>
            <w:proofErr w:type="gramStart"/>
            <w:r w:rsidRPr="00E205BE">
              <w:rPr>
                <w:sz w:val="20"/>
                <w:szCs w:val="20"/>
              </w:rPr>
              <w:t>2023</w:t>
            </w:r>
            <w:proofErr w:type="gramEnd"/>
            <w:r w:rsidRPr="00E205BE">
              <w:rPr>
                <w:sz w:val="20"/>
                <w:szCs w:val="20"/>
              </w:rPr>
              <w:t xml:space="preserve"> and 2022, respectively. Deferred Drug Development Collaborative revenue was $100,000 and $0 for the years ended December 31, </w:t>
            </w:r>
            <w:proofErr w:type="gramStart"/>
            <w:r w:rsidRPr="00E205BE">
              <w:rPr>
                <w:sz w:val="20"/>
                <w:szCs w:val="20"/>
              </w:rPr>
              <w:t>2023</w:t>
            </w:r>
            <w:proofErr w:type="gramEnd"/>
            <w:r w:rsidRPr="00E205BE">
              <w:rPr>
                <w:sz w:val="20"/>
                <w:szCs w:val="20"/>
              </w:rPr>
              <w:t xml:space="preserve"> and 2022, respectively"</w:t>
            </w:r>
            <w:r w:rsidRPr="00E205BE">
              <w:rPr>
                <w:rFonts w:ascii="Arial" w:hAnsi="Arial" w:cs="Arial"/>
                <w:sz w:val="20"/>
                <w:szCs w:val="20"/>
              </w:rPr>
              <w:t>​</w:t>
            </w:r>
            <w:r w:rsidRPr="00E205BE">
              <w:rPr>
                <w:sz w:val="20"/>
                <w:szCs w:val="20"/>
              </w:rPr>
              <w:t>(naf23_notes).</w:t>
            </w:r>
          </w:p>
          <w:p w14:paraId="30B5A6FE" w14:textId="77777777" w:rsidR="00E205BE" w:rsidRPr="00E205BE" w:rsidRDefault="00E205BE" w:rsidP="00E205BE">
            <w:pPr>
              <w:spacing w:after="0" w:line="240" w:lineRule="auto"/>
              <w:rPr>
                <w:sz w:val="20"/>
                <w:szCs w:val="20"/>
              </w:rPr>
            </w:pPr>
            <w:r w:rsidRPr="00E205BE">
              <w:rPr>
                <w:sz w:val="20"/>
                <w:szCs w:val="20"/>
              </w:rPr>
              <w:t>This shows that the bulk of the increase in deferred revenue in 2023 was due to the $100,000 received in advance for the DDC, which will be recognized as revenue in future periods as the related activities are carried out.</w:t>
            </w:r>
          </w:p>
          <w:p w14:paraId="1C4E426D" w14:textId="77777777" w:rsidR="00E205BE" w:rsidRDefault="00E205BE" w:rsidP="00E205BE">
            <w:pPr>
              <w:rPr>
                <w:sz w:val="20"/>
                <w:szCs w:val="20"/>
              </w:rPr>
            </w:pPr>
          </w:p>
          <w:p w14:paraId="403179EE" w14:textId="0156FD9C" w:rsidR="00E205BE" w:rsidRPr="00E205BE" w:rsidRDefault="00E205BE" w:rsidP="00E205BE">
            <w:pPr>
              <w:spacing w:after="0" w:line="240" w:lineRule="auto"/>
              <w:rPr>
                <w:sz w:val="20"/>
                <w:szCs w:val="20"/>
              </w:rPr>
            </w:pPr>
            <w:r w:rsidRPr="00E205BE">
              <w:rPr>
                <w:sz w:val="20"/>
                <w:szCs w:val="20"/>
              </w:rPr>
              <w:t>Step 3 (Reasoning):</w:t>
            </w:r>
          </w:p>
          <w:p w14:paraId="451F7DA5" w14:textId="77777777" w:rsidR="00E205BE" w:rsidRPr="00E205BE" w:rsidRDefault="00E205BE" w:rsidP="00E205BE">
            <w:pPr>
              <w:spacing w:after="0" w:line="240" w:lineRule="auto"/>
              <w:rPr>
                <w:sz w:val="20"/>
                <w:szCs w:val="20"/>
              </w:rPr>
            </w:pPr>
            <w:r w:rsidRPr="00E205BE">
              <w:rPr>
                <w:sz w:val="20"/>
                <w:szCs w:val="20"/>
              </w:rPr>
              <w:t xml:space="preserve">The increase in deferred revenue reflects the foundation’s strategy of securing advance payments for key programs like the DDC and conferences. This ensures financial support for these initiatives, even though the revenue will be recognized </w:t>
            </w:r>
            <w:proofErr w:type="gramStart"/>
            <w:r w:rsidRPr="00E205BE">
              <w:rPr>
                <w:sz w:val="20"/>
                <w:szCs w:val="20"/>
              </w:rPr>
              <w:t>later, once</w:t>
            </w:r>
            <w:proofErr w:type="gramEnd"/>
            <w:r w:rsidRPr="00E205BE">
              <w:rPr>
                <w:sz w:val="20"/>
                <w:szCs w:val="20"/>
              </w:rPr>
              <w:t xml:space="preserve"> the services are delivered or the events take place.</w:t>
            </w:r>
          </w:p>
          <w:p w14:paraId="532D4FAB" w14:textId="77777777" w:rsidR="00E205BE" w:rsidRDefault="00E205BE" w:rsidP="00E205BE">
            <w:pPr>
              <w:rPr>
                <w:sz w:val="20"/>
                <w:szCs w:val="20"/>
              </w:rPr>
            </w:pPr>
          </w:p>
          <w:p w14:paraId="557FA0FD" w14:textId="2F978A9C" w:rsidR="00E205BE" w:rsidRPr="00E205BE" w:rsidRDefault="00FF325E" w:rsidP="00E205BE">
            <w:pPr>
              <w:spacing w:after="0" w:line="240" w:lineRule="auto"/>
              <w:rPr>
                <w:sz w:val="20"/>
                <w:szCs w:val="20"/>
              </w:rPr>
            </w:pPr>
            <w:r>
              <w:rPr>
                <w:sz w:val="20"/>
                <w:szCs w:val="20"/>
              </w:rPr>
              <w:t>Answer</w:t>
            </w:r>
            <w:r w:rsidR="00E205BE" w:rsidRPr="00E205BE">
              <w:rPr>
                <w:sz w:val="20"/>
                <w:szCs w:val="20"/>
              </w:rPr>
              <w:t>:</w:t>
            </w:r>
          </w:p>
          <w:p w14:paraId="5F5BE738" w14:textId="1C4FEDDE" w:rsidR="00006F07" w:rsidRPr="00B82C77" w:rsidRDefault="00E205BE" w:rsidP="00E205BE">
            <w:pPr>
              <w:rPr>
                <w:sz w:val="20"/>
                <w:szCs w:val="20"/>
              </w:rPr>
            </w:pPr>
            <w:r w:rsidRPr="00E205BE">
              <w:rPr>
                <w:sz w:val="20"/>
                <w:szCs w:val="20"/>
              </w:rPr>
              <w:t xml:space="preserve">The significant increase in deferred revenue in 2023 was mainly due to the $100,000 advance payment for the Drug Development Collaborative, along with conference fees of $9,810. These payments will be </w:t>
            </w:r>
            <w:r w:rsidRPr="00E205BE">
              <w:rPr>
                <w:sz w:val="20"/>
                <w:szCs w:val="20"/>
              </w:rPr>
              <w:lastRenderedPageBreak/>
              <w:t>recognized as revenue in future periods, following the foundation’s approach to managing advance funding for its programs.</w:t>
            </w:r>
          </w:p>
        </w:tc>
      </w:tr>
      <w:tr w:rsidR="00006F07" w:rsidRPr="00B82C77" w14:paraId="02B4772A" w14:textId="77777777" w:rsidTr="00E205BE">
        <w:trPr>
          <w:trHeight w:val="298"/>
        </w:trPr>
        <w:tc>
          <w:tcPr>
            <w:tcW w:w="1885" w:type="dxa"/>
          </w:tcPr>
          <w:p w14:paraId="70D824CE" w14:textId="181C8B4E" w:rsidR="00006F07" w:rsidRPr="00B82C77" w:rsidRDefault="008D0778">
            <w:pPr>
              <w:rPr>
                <w:sz w:val="20"/>
                <w:szCs w:val="20"/>
              </w:rPr>
            </w:pPr>
            <w:r w:rsidRPr="008D0778">
              <w:rPr>
                <w:sz w:val="20"/>
                <w:szCs w:val="20"/>
              </w:rPr>
              <w:lastRenderedPageBreak/>
              <w:t>What contributed to the significant increase in net assets with donor restrictions from 2022 to 2023, and what specific program or initiative drove this change?</w:t>
            </w:r>
          </w:p>
        </w:tc>
        <w:tc>
          <w:tcPr>
            <w:tcW w:w="9054" w:type="dxa"/>
          </w:tcPr>
          <w:p w14:paraId="74DD60AF" w14:textId="77777777" w:rsidR="00AE37FC" w:rsidRPr="00AE37FC" w:rsidRDefault="00AE37FC" w:rsidP="00AE37FC">
            <w:pPr>
              <w:spacing w:after="0" w:line="240" w:lineRule="auto"/>
              <w:rPr>
                <w:sz w:val="20"/>
                <w:szCs w:val="20"/>
              </w:rPr>
            </w:pPr>
            <w:r w:rsidRPr="00AE37FC">
              <w:rPr>
                <w:sz w:val="20"/>
                <w:szCs w:val="20"/>
              </w:rPr>
              <w:t>Step 1 (Data from Financial Statements):</w:t>
            </w:r>
          </w:p>
          <w:p w14:paraId="19ED375C" w14:textId="77777777" w:rsidR="00AE37FC" w:rsidRDefault="00AE37FC" w:rsidP="00AE37FC">
            <w:pPr>
              <w:rPr>
                <w:sz w:val="20"/>
                <w:szCs w:val="20"/>
              </w:rPr>
            </w:pPr>
            <w:r w:rsidRPr="00AE37FC">
              <w:rPr>
                <w:sz w:val="20"/>
                <w:szCs w:val="20"/>
              </w:rPr>
              <w:t>Net assets with donor restrictions increased from $2,041,806 in 2022 to $2,680,567 in 2023</w:t>
            </w:r>
            <w:r w:rsidRPr="00AE37FC">
              <w:rPr>
                <w:rFonts w:ascii="Arial" w:hAnsi="Arial" w:cs="Arial"/>
                <w:sz w:val="20"/>
                <w:szCs w:val="20"/>
              </w:rPr>
              <w:t>​</w:t>
            </w:r>
            <w:r w:rsidRPr="00AE37FC">
              <w:rPr>
                <w:sz w:val="20"/>
                <w:szCs w:val="20"/>
              </w:rPr>
              <w:t>(naf23_data).</w:t>
            </w:r>
          </w:p>
          <w:p w14:paraId="59EAD31C" w14:textId="77777777" w:rsidR="00AE37FC" w:rsidRPr="00AE37FC" w:rsidRDefault="00AE37FC" w:rsidP="00AE37FC">
            <w:pPr>
              <w:spacing w:after="0" w:line="240" w:lineRule="auto"/>
              <w:rPr>
                <w:sz w:val="20"/>
                <w:szCs w:val="20"/>
              </w:rPr>
            </w:pPr>
          </w:p>
          <w:p w14:paraId="696A74B5" w14:textId="20B1CF09" w:rsidR="00AE37FC" w:rsidRPr="00AE37FC" w:rsidRDefault="00AE37FC" w:rsidP="00AE37FC">
            <w:pPr>
              <w:spacing w:after="0" w:line="240" w:lineRule="auto"/>
              <w:rPr>
                <w:sz w:val="20"/>
                <w:szCs w:val="20"/>
              </w:rPr>
            </w:pPr>
            <w:r w:rsidRPr="00AE37FC">
              <w:rPr>
                <w:sz w:val="20"/>
                <w:szCs w:val="20"/>
              </w:rPr>
              <w:t>Step 2 (Explanation in Notes):</w:t>
            </w:r>
          </w:p>
          <w:p w14:paraId="340C2157" w14:textId="77777777" w:rsidR="00AE37FC" w:rsidRDefault="00AE37FC" w:rsidP="00AE37FC">
            <w:pPr>
              <w:rPr>
                <w:sz w:val="20"/>
                <w:szCs w:val="20"/>
              </w:rPr>
            </w:pPr>
            <w:r w:rsidRPr="00AE37FC">
              <w:rPr>
                <w:sz w:val="20"/>
                <w:szCs w:val="20"/>
              </w:rPr>
              <w:t>According to the notes, a large portion of this increase was due to the establishment of the MR Imaging Study Fund, which contributed $612,044 to the net assets with donor restrictions in 2023</w:t>
            </w:r>
            <w:r w:rsidRPr="00AE37FC">
              <w:rPr>
                <w:rFonts w:ascii="Arial" w:hAnsi="Arial" w:cs="Arial"/>
                <w:sz w:val="20"/>
                <w:szCs w:val="20"/>
              </w:rPr>
              <w:t>​</w:t>
            </w:r>
            <w:r w:rsidRPr="00AE37FC">
              <w:rPr>
                <w:sz w:val="20"/>
                <w:szCs w:val="20"/>
              </w:rPr>
              <w:t>(naf23_notes).</w:t>
            </w:r>
          </w:p>
          <w:p w14:paraId="6B9F0456" w14:textId="77777777" w:rsidR="00AE37FC" w:rsidRPr="00AE37FC" w:rsidRDefault="00AE37FC" w:rsidP="00AE37FC">
            <w:pPr>
              <w:spacing w:after="0" w:line="240" w:lineRule="auto"/>
              <w:rPr>
                <w:sz w:val="20"/>
                <w:szCs w:val="20"/>
              </w:rPr>
            </w:pPr>
          </w:p>
          <w:p w14:paraId="3B59AFC0" w14:textId="4E763E7E" w:rsidR="00AE37FC" w:rsidRPr="00AE37FC" w:rsidRDefault="00AE37FC" w:rsidP="00AE37FC">
            <w:pPr>
              <w:spacing w:after="0" w:line="240" w:lineRule="auto"/>
              <w:rPr>
                <w:sz w:val="20"/>
                <w:szCs w:val="20"/>
              </w:rPr>
            </w:pPr>
            <w:r w:rsidRPr="00AE37FC">
              <w:rPr>
                <w:sz w:val="20"/>
                <w:szCs w:val="20"/>
              </w:rPr>
              <w:t>Step 3 (Reasoning):</w:t>
            </w:r>
          </w:p>
          <w:p w14:paraId="7AB839B4" w14:textId="77777777" w:rsidR="00AE37FC" w:rsidRDefault="00AE37FC" w:rsidP="00AE37FC">
            <w:pPr>
              <w:rPr>
                <w:sz w:val="20"/>
                <w:szCs w:val="20"/>
              </w:rPr>
            </w:pPr>
            <w:r w:rsidRPr="00AE37FC">
              <w:rPr>
                <w:sz w:val="20"/>
                <w:szCs w:val="20"/>
              </w:rPr>
              <w:t xml:space="preserve">The MR Imaging Study Fund represents a new, donor-restricted initiative specifically supporting research into ataxia through advanced imaging technologies. This significant contribution boosted the restricted net assets and </w:t>
            </w:r>
            <w:proofErr w:type="gramStart"/>
            <w:r w:rsidRPr="00AE37FC">
              <w:rPr>
                <w:sz w:val="20"/>
                <w:szCs w:val="20"/>
              </w:rPr>
              <w:t>reflects</w:t>
            </w:r>
            <w:proofErr w:type="gramEnd"/>
            <w:r w:rsidRPr="00AE37FC">
              <w:rPr>
                <w:sz w:val="20"/>
                <w:szCs w:val="20"/>
              </w:rPr>
              <w:t xml:space="preserve"> the foundation’s success in attracting targeted funding for specialized research.</w:t>
            </w:r>
          </w:p>
          <w:p w14:paraId="55C4A1CA" w14:textId="77777777" w:rsidR="00AE37FC" w:rsidRPr="00AE37FC" w:rsidRDefault="00AE37FC" w:rsidP="00AE37FC">
            <w:pPr>
              <w:spacing w:after="0" w:line="240" w:lineRule="auto"/>
              <w:rPr>
                <w:sz w:val="20"/>
                <w:szCs w:val="20"/>
              </w:rPr>
            </w:pPr>
          </w:p>
          <w:p w14:paraId="4B980C1F" w14:textId="0C7822A1" w:rsidR="00AE37FC" w:rsidRPr="00AE37FC" w:rsidRDefault="00FF325E" w:rsidP="00AE37FC">
            <w:pPr>
              <w:spacing w:after="0" w:line="240" w:lineRule="auto"/>
              <w:rPr>
                <w:sz w:val="20"/>
                <w:szCs w:val="20"/>
              </w:rPr>
            </w:pPr>
            <w:r>
              <w:rPr>
                <w:sz w:val="20"/>
                <w:szCs w:val="20"/>
              </w:rPr>
              <w:t>Answer</w:t>
            </w:r>
            <w:r w:rsidR="00AE37FC" w:rsidRPr="00AE37FC">
              <w:rPr>
                <w:sz w:val="20"/>
                <w:szCs w:val="20"/>
              </w:rPr>
              <w:t>:</w:t>
            </w:r>
          </w:p>
          <w:p w14:paraId="2F08E135" w14:textId="2315D3AF" w:rsidR="00006F07" w:rsidRPr="00B82C77" w:rsidRDefault="00AE37FC" w:rsidP="00AE37FC">
            <w:pPr>
              <w:rPr>
                <w:sz w:val="20"/>
                <w:szCs w:val="20"/>
              </w:rPr>
            </w:pPr>
            <w:r w:rsidRPr="00AE37FC">
              <w:rPr>
                <w:sz w:val="20"/>
                <w:szCs w:val="20"/>
              </w:rPr>
              <w:t>The increase in net assets with donor restrictions was primarily driven by the creation of the MR Imaging Study Fund, which added $612,044 in 2023. This fund was a major factor in the foundation’s ability to support critical research initiatives.</w:t>
            </w:r>
          </w:p>
        </w:tc>
      </w:tr>
      <w:tr w:rsidR="00006F07" w:rsidRPr="00B82C77" w14:paraId="70ED6931" w14:textId="77777777" w:rsidTr="00E205BE">
        <w:trPr>
          <w:trHeight w:val="312"/>
        </w:trPr>
        <w:tc>
          <w:tcPr>
            <w:tcW w:w="1885" w:type="dxa"/>
          </w:tcPr>
          <w:p w14:paraId="65CBA46E" w14:textId="152834C4" w:rsidR="00006F07" w:rsidRPr="00B82C77" w:rsidRDefault="00A95A23">
            <w:pPr>
              <w:rPr>
                <w:sz w:val="20"/>
                <w:szCs w:val="20"/>
              </w:rPr>
            </w:pPr>
            <w:r w:rsidRPr="00A95A23">
              <w:rPr>
                <w:sz w:val="20"/>
                <w:szCs w:val="20"/>
              </w:rPr>
              <w:t>What caused the significant decrease in the long-term operating lease liability (less current portion) from 2022 to 2023, and how does the foundation's lease management strategy explain this change?</w:t>
            </w:r>
          </w:p>
        </w:tc>
        <w:tc>
          <w:tcPr>
            <w:tcW w:w="9054" w:type="dxa"/>
          </w:tcPr>
          <w:p w14:paraId="6425651C" w14:textId="77777777" w:rsidR="00893E14" w:rsidRPr="00893E14" w:rsidRDefault="00893E14" w:rsidP="00893E14">
            <w:pPr>
              <w:spacing w:after="0" w:line="240" w:lineRule="auto"/>
              <w:rPr>
                <w:sz w:val="20"/>
                <w:szCs w:val="20"/>
              </w:rPr>
            </w:pPr>
            <w:r w:rsidRPr="00893E14">
              <w:rPr>
                <w:sz w:val="20"/>
                <w:szCs w:val="20"/>
              </w:rPr>
              <w:t>Step 1 (Data from Financial Statements):</w:t>
            </w:r>
          </w:p>
          <w:p w14:paraId="12EACB9F" w14:textId="77777777" w:rsidR="00893E14" w:rsidRPr="00893E14" w:rsidRDefault="00893E14" w:rsidP="00893E14">
            <w:pPr>
              <w:spacing w:after="0" w:line="240" w:lineRule="auto"/>
              <w:rPr>
                <w:sz w:val="20"/>
                <w:szCs w:val="20"/>
              </w:rPr>
            </w:pPr>
            <w:r w:rsidRPr="00893E14">
              <w:rPr>
                <w:sz w:val="20"/>
                <w:szCs w:val="20"/>
              </w:rPr>
              <w:t>The long-term operating lease liability (less current portion) decreased from $58,104 in 2022 to $25,353 in 2023</w:t>
            </w:r>
            <w:r w:rsidRPr="00893E14">
              <w:rPr>
                <w:rFonts w:ascii="Arial" w:hAnsi="Arial" w:cs="Arial"/>
                <w:sz w:val="20"/>
                <w:szCs w:val="20"/>
              </w:rPr>
              <w:t>​</w:t>
            </w:r>
            <w:r w:rsidRPr="00893E14">
              <w:rPr>
                <w:sz w:val="20"/>
                <w:szCs w:val="20"/>
              </w:rPr>
              <w:t>(naf23_data).</w:t>
            </w:r>
          </w:p>
          <w:p w14:paraId="42175F37" w14:textId="77777777" w:rsidR="00893E14" w:rsidRDefault="00893E14" w:rsidP="00893E14">
            <w:pPr>
              <w:rPr>
                <w:sz w:val="20"/>
                <w:szCs w:val="20"/>
              </w:rPr>
            </w:pPr>
          </w:p>
          <w:p w14:paraId="54925E5D" w14:textId="628C7953" w:rsidR="00893E14" w:rsidRPr="00893E14" w:rsidRDefault="00893E14" w:rsidP="00893E14">
            <w:pPr>
              <w:spacing w:after="0" w:line="240" w:lineRule="auto"/>
              <w:rPr>
                <w:sz w:val="20"/>
                <w:szCs w:val="20"/>
              </w:rPr>
            </w:pPr>
            <w:r w:rsidRPr="00893E14">
              <w:rPr>
                <w:sz w:val="20"/>
                <w:szCs w:val="20"/>
              </w:rPr>
              <w:t>Step 2 (Explanation in Notes):</w:t>
            </w:r>
          </w:p>
          <w:p w14:paraId="079CEC91" w14:textId="77777777" w:rsidR="00893E14" w:rsidRPr="00893E14" w:rsidRDefault="00893E14" w:rsidP="00893E14">
            <w:pPr>
              <w:spacing w:after="0" w:line="240" w:lineRule="auto"/>
              <w:rPr>
                <w:sz w:val="20"/>
                <w:szCs w:val="20"/>
              </w:rPr>
            </w:pPr>
            <w:r w:rsidRPr="00893E14">
              <w:rPr>
                <w:sz w:val="20"/>
                <w:szCs w:val="20"/>
              </w:rPr>
              <w:t>The notes detail that the foundation entered into a property lease agreement with Interchange Investors, LLC that runs until September 2025. The agreement specifies fixed monthly payments, starting at $2,563 per month and incrementally increasing to $2,864 by the end of the lease term</w:t>
            </w:r>
            <w:r w:rsidRPr="00893E14">
              <w:rPr>
                <w:rFonts w:ascii="Arial" w:hAnsi="Arial" w:cs="Arial"/>
                <w:sz w:val="20"/>
                <w:szCs w:val="20"/>
              </w:rPr>
              <w:t>​</w:t>
            </w:r>
            <w:r w:rsidRPr="00893E14">
              <w:rPr>
                <w:sz w:val="20"/>
                <w:szCs w:val="20"/>
              </w:rPr>
              <w:t>(naf23_notes).</w:t>
            </w:r>
          </w:p>
          <w:p w14:paraId="2A2C2416" w14:textId="77777777" w:rsidR="00893E14" w:rsidRPr="00893E14" w:rsidRDefault="00893E14" w:rsidP="00893E14">
            <w:pPr>
              <w:spacing w:after="0" w:line="240" w:lineRule="auto"/>
              <w:rPr>
                <w:sz w:val="20"/>
                <w:szCs w:val="20"/>
              </w:rPr>
            </w:pPr>
            <w:r w:rsidRPr="00893E14">
              <w:rPr>
                <w:sz w:val="20"/>
                <w:szCs w:val="20"/>
              </w:rPr>
              <w:t>In 2023, the total remaining lease payments for 2024 are $33,693, and for 2025 they are $25,552, both of which contribute to the reduction of the long-term liability</w:t>
            </w:r>
            <w:r w:rsidRPr="00893E14">
              <w:rPr>
                <w:rFonts w:ascii="Arial" w:hAnsi="Arial" w:cs="Arial"/>
                <w:sz w:val="20"/>
                <w:szCs w:val="20"/>
              </w:rPr>
              <w:t>​</w:t>
            </w:r>
            <w:r w:rsidRPr="00893E14">
              <w:rPr>
                <w:sz w:val="20"/>
                <w:szCs w:val="20"/>
              </w:rPr>
              <w:t>(naf23_notes).</w:t>
            </w:r>
          </w:p>
          <w:p w14:paraId="7A711650" w14:textId="77777777" w:rsidR="00893E14" w:rsidRPr="00893E14" w:rsidRDefault="00893E14" w:rsidP="00893E14">
            <w:pPr>
              <w:spacing w:after="0" w:line="240" w:lineRule="auto"/>
              <w:rPr>
                <w:sz w:val="20"/>
                <w:szCs w:val="20"/>
              </w:rPr>
            </w:pPr>
            <w:r w:rsidRPr="00893E14">
              <w:rPr>
                <w:sz w:val="20"/>
                <w:szCs w:val="20"/>
              </w:rPr>
              <w:t>The decrease in the long-term liability is a result of these lease payments shifting into the current portion as the due date approaches, reflecting the foundation’s ongoing payments under the lease.</w:t>
            </w:r>
          </w:p>
          <w:p w14:paraId="16D0DD97" w14:textId="77777777" w:rsidR="00893E14" w:rsidRDefault="00893E14" w:rsidP="00893E14">
            <w:pPr>
              <w:rPr>
                <w:sz w:val="20"/>
                <w:szCs w:val="20"/>
              </w:rPr>
            </w:pPr>
          </w:p>
          <w:p w14:paraId="5F71EF5A" w14:textId="15AC8757" w:rsidR="00893E14" w:rsidRPr="00893E14" w:rsidRDefault="00893E14" w:rsidP="00893E14">
            <w:pPr>
              <w:spacing w:after="0" w:line="240" w:lineRule="auto"/>
              <w:rPr>
                <w:sz w:val="20"/>
                <w:szCs w:val="20"/>
              </w:rPr>
            </w:pPr>
            <w:r w:rsidRPr="00893E14">
              <w:rPr>
                <w:sz w:val="20"/>
                <w:szCs w:val="20"/>
              </w:rPr>
              <w:t>Step 3 (Reasoning):</w:t>
            </w:r>
          </w:p>
          <w:p w14:paraId="3AD444A6" w14:textId="77777777" w:rsidR="00893E14" w:rsidRPr="00893E14" w:rsidRDefault="00893E14" w:rsidP="00893E14">
            <w:pPr>
              <w:spacing w:after="0" w:line="240" w:lineRule="auto"/>
              <w:rPr>
                <w:sz w:val="20"/>
                <w:szCs w:val="20"/>
              </w:rPr>
            </w:pPr>
            <w:r w:rsidRPr="00893E14">
              <w:rPr>
                <w:sz w:val="20"/>
                <w:szCs w:val="20"/>
              </w:rPr>
              <w:t>The decrease in the long-term operating lease liability is directly related to the foundation's regular monthly payments, which are steadily reducing the outstanding liability. As these payments are made, the liability shifts from the long-term portion into the current portion, corresponding to the time remaining on the lease.</w:t>
            </w:r>
          </w:p>
          <w:p w14:paraId="3514DCFC" w14:textId="77777777" w:rsidR="00893E14" w:rsidRDefault="00893E14" w:rsidP="00893E14">
            <w:pPr>
              <w:rPr>
                <w:sz w:val="20"/>
                <w:szCs w:val="20"/>
              </w:rPr>
            </w:pPr>
          </w:p>
          <w:p w14:paraId="3515098B" w14:textId="470F3CE3" w:rsidR="00893E14" w:rsidRPr="00893E14" w:rsidRDefault="00FF325E" w:rsidP="00893E14">
            <w:pPr>
              <w:spacing w:after="0" w:line="240" w:lineRule="auto"/>
              <w:rPr>
                <w:sz w:val="20"/>
                <w:szCs w:val="20"/>
              </w:rPr>
            </w:pPr>
            <w:r>
              <w:rPr>
                <w:sz w:val="20"/>
                <w:szCs w:val="20"/>
              </w:rPr>
              <w:t>Answer</w:t>
            </w:r>
            <w:r w:rsidR="00893E14" w:rsidRPr="00893E14">
              <w:rPr>
                <w:sz w:val="20"/>
                <w:szCs w:val="20"/>
              </w:rPr>
              <w:t>:</w:t>
            </w:r>
          </w:p>
          <w:p w14:paraId="506FED3F" w14:textId="031BF4D6" w:rsidR="00006F07" w:rsidRPr="00B82C77" w:rsidRDefault="00893E14" w:rsidP="00893E14">
            <w:pPr>
              <w:rPr>
                <w:sz w:val="20"/>
                <w:szCs w:val="20"/>
              </w:rPr>
            </w:pPr>
            <w:r w:rsidRPr="00893E14">
              <w:rPr>
                <w:sz w:val="20"/>
                <w:szCs w:val="20"/>
              </w:rPr>
              <w:t>The sharp decrease in the long-term operating lease liability (less current portion) from 2022 to 2023 is explained by the monthly lease payments of between $2,563 and $2,864, which are reducing the overall lease obligation. These payments, along with the shorter remaining lease term, have caused the liability to shift from long-term to current liabilities.</w:t>
            </w:r>
          </w:p>
        </w:tc>
      </w:tr>
    </w:tbl>
    <w:p w14:paraId="05BAF1C3" w14:textId="77777777" w:rsidR="00C7781D" w:rsidRDefault="00C7781D">
      <w:pPr>
        <w:rPr>
          <w:sz w:val="20"/>
          <w:szCs w:val="20"/>
        </w:rPr>
      </w:pPr>
    </w:p>
    <w:p w14:paraId="740426B0" w14:textId="5AD0F2DB" w:rsidR="008E2316" w:rsidRDefault="008E2316">
      <w:pPr>
        <w:rPr>
          <w:sz w:val="20"/>
          <w:szCs w:val="20"/>
        </w:rPr>
      </w:pPr>
      <w:proofErr w:type="spellStart"/>
      <w:r>
        <w:rPr>
          <w:sz w:val="20"/>
          <w:szCs w:val="20"/>
        </w:rPr>
        <w:t>stc</w:t>
      </w:r>
      <w:proofErr w:type="spellEnd"/>
    </w:p>
    <w:tbl>
      <w:tblPr>
        <w:tblStyle w:val="TableGrid"/>
        <w:tblW w:w="10939" w:type="dxa"/>
        <w:tblLook w:val="04A0" w:firstRow="1" w:lastRow="0" w:firstColumn="1" w:lastColumn="0" w:noHBand="0" w:noVBand="1"/>
      </w:tblPr>
      <w:tblGrid>
        <w:gridCol w:w="1885"/>
        <w:gridCol w:w="9054"/>
      </w:tblGrid>
      <w:tr w:rsidR="008E2316" w:rsidRPr="00B82C77" w14:paraId="1F9405ED" w14:textId="77777777" w:rsidTr="00AE1FB1">
        <w:trPr>
          <w:trHeight w:val="298"/>
        </w:trPr>
        <w:tc>
          <w:tcPr>
            <w:tcW w:w="1885" w:type="dxa"/>
          </w:tcPr>
          <w:p w14:paraId="31EAA77B" w14:textId="7A659EA0" w:rsidR="008E2316" w:rsidRPr="00B82C77" w:rsidRDefault="00BC08AE" w:rsidP="00AE1FB1">
            <w:pPr>
              <w:rPr>
                <w:sz w:val="20"/>
                <w:szCs w:val="20"/>
              </w:rPr>
            </w:pPr>
            <w:r w:rsidRPr="00BC08AE">
              <w:rPr>
                <w:sz w:val="20"/>
                <w:szCs w:val="20"/>
              </w:rPr>
              <w:t>Assets changed from €3,448,770.20 in 2020 to €1,526,209.73 in 2021. What are the drivers behind this change?</w:t>
            </w:r>
          </w:p>
        </w:tc>
        <w:tc>
          <w:tcPr>
            <w:tcW w:w="9054" w:type="dxa"/>
          </w:tcPr>
          <w:p w14:paraId="11696ABA" w14:textId="77777777" w:rsidR="00BC08AE" w:rsidRPr="00BC08AE" w:rsidRDefault="00BC08AE" w:rsidP="00BC08AE">
            <w:pPr>
              <w:spacing w:after="0" w:line="240" w:lineRule="auto"/>
              <w:rPr>
                <w:sz w:val="20"/>
                <w:szCs w:val="20"/>
              </w:rPr>
            </w:pPr>
            <w:r w:rsidRPr="00BC08AE">
              <w:rPr>
                <w:sz w:val="20"/>
                <w:szCs w:val="20"/>
              </w:rPr>
              <w:t xml:space="preserve">Thought Process: The significant decrease in total assets could be due to changes in current or non-current assets. By examining the balance sheet, </w:t>
            </w:r>
            <w:proofErr w:type="gramStart"/>
            <w:r w:rsidRPr="00BC08AE">
              <w:rPr>
                <w:sz w:val="20"/>
                <w:szCs w:val="20"/>
              </w:rPr>
              <w:t>it is clear that the</w:t>
            </w:r>
            <w:proofErr w:type="gramEnd"/>
            <w:r w:rsidRPr="00BC08AE">
              <w:rPr>
                <w:sz w:val="20"/>
                <w:szCs w:val="20"/>
              </w:rPr>
              <w:t xml:space="preserve"> largest component of this change is the reduction in cash and cash equivalents. To understand why, we need to look for reasons in the notes regarding spending patterns, legal commitments, or other activities that might explain this decrease.</w:t>
            </w:r>
          </w:p>
          <w:p w14:paraId="14301D24" w14:textId="77777777" w:rsidR="00BC08AE" w:rsidRPr="00BC08AE" w:rsidRDefault="00BC08AE" w:rsidP="00BC08AE">
            <w:pPr>
              <w:spacing w:after="0" w:line="240" w:lineRule="auto"/>
              <w:rPr>
                <w:sz w:val="20"/>
                <w:szCs w:val="20"/>
              </w:rPr>
            </w:pPr>
            <w:r w:rsidRPr="00BC08AE">
              <w:rPr>
                <w:sz w:val="20"/>
                <w:szCs w:val="20"/>
              </w:rPr>
              <w:t>Answer:</w:t>
            </w:r>
          </w:p>
          <w:p w14:paraId="1227E54A" w14:textId="14DAB111" w:rsidR="008E2316" w:rsidRPr="00B82C77" w:rsidRDefault="00BC08AE" w:rsidP="00BC08AE">
            <w:pPr>
              <w:rPr>
                <w:sz w:val="20"/>
                <w:szCs w:val="20"/>
              </w:rPr>
            </w:pPr>
            <w:r w:rsidRPr="00BC08AE">
              <w:rPr>
                <w:sz w:val="20"/>
                <w:szCs w:val="20"/>
              </w:rPr>
              <w:t>The primary driver of the asset reduction is the decrease in cash and cash equivalents from €3,254,771.91 in 2020 to €1,492,643.83 in 2021. This was largely due to increased legal commitments for infrastructure and technical assistance projects, such as the development of the Transport Observatory and Road Safety Observatory</w:t>
            </w:r>
            <w:r w:rsidRPr="00BC08AE">
              <w:rPr>
                <w:rFonts w:ascii="Arial" w:hAnsi="Arial" w:cs="Arial"/>
                <w:sz w:val="20"/>
                <w:szCs w:val="20"/>
              </w:rPr>
              <w:t>​</w:t>
            </w:r>
            <w:r w:rsidRPr="00BC08AE">
              <w:rPr>
                <w:sz w:val="20"/>
                <w:szCs w:val="20"/>
              </w:rPr>
              <w:t>(</w:t>
            </w:r>
            <w:proofErr w:type="spellStart"/>
            <w:r w:rsidRPr="00BC08AE">
              <w:rPr>
                <w:sz w:val="20"/>
                <w:szCs w:val="20"/>
              </w:rPr>
              <w:t>stc_notes</w:t>
            </w:r>
            <w:proofErr w:type="spellEnd"/>
            <w:r w:rsidRPr="00BC08AE">
              <w:rPr>
                <w:sz w:val="20"/>
                <w:szCs w:val="20"/>
              </w:rPr>
              <w:t>)</w:t>
            </w:r>
            <w:r w:rsidRPr="00BC08AE">
              <w:rPr>
                <w:rFonts w:ascii="Arial" w:hAnsi="Arial" w:cs="Arial"/>
                <w:sz w:val="20"/>
                <w:szCs w:val="20"/>
              </w:rPr>
              <w:t>​</w:t>
            </w:r>
            <w:r w:rsidRPr="00BC08AE">
              <w:rPr>
                <w:sz w:val="20"/>
                <w:szCs w:val="20"/>
              </w:rPr>
              <w:t>(</w:t>
            </w:r>
            <w:proofErr w:type="spellStart"/>
            <w:r w:rsidRPr="00BC08AE">
              <w:rPr>
                <w:sz w:val="20"/>
                <w:szCs w:val="20"/>
              </w:rPr>
              <w:t>stc_data</w:t>
            </w:r>
            <w:proofErr w:type="spellEnd"/>
            <w:r w:rsidRPr="00BC08AE">
              <w:rPr>
                <w:sz w:val="20"/>
                <w:szCs w:val="20"/>
              </w:rPr>
              <w:t>).</w:t>
            </w:r>
          </w:p>
        </w:tc>
      </w:tr>
      <w:tr w:rsidR="008E2316" w:rsidRPr="00B82C77" w14:paraId="5CEA7D97" w14:textId="77777777" w:rsidTr="00AE1FB1">
        <w:trPr>
          <w:trHeight w:val="298"/>
        </w:trPr>
        <w:tc>
          <w:tcPr>
            <w:tcW w:w="1885" w:type="dxa"/>
          </w:tcPr>
          <w:p w14:paraId="1EF8E226" w14:textId="649EFF24" w:rsidR="008E2316" w:rsidRPr="00B82C77" w:rsidRDefault="00D35766" w:rsidP="00AE1FB1">
            <w:pPr>
              <w:rPr>
                <w:sz w:val="20"/>
                <w:szCs w:val="20"/>
              </w:rPr>
            </w:pPr>
            <w:r w:rsidRPr="00D35766">
              <w:rPr>
                <w:sz w:val="20"/>
                <w:szCs w:val="20"/>
              </w:rPr>
              <w:t xml:space="preserve">Total expenses increased significantly in 2021 compared to </w:t>
            </w:r>
            <w:r w:rsidRPr="00D35766">
              <w:rPr>
                <w:sz w:val="20"/>
                <w:szCs w:val="20"/>
              </w:rPr>
              <w:lastRenderedPageBreak/>
              <w:t>2020. What are the main reasons behind this increase?</w:t>
            </w:r>
          </w:p>
        </w:tc>
        <w:tc>
          <w:tcPr>
            <w:tcW w:w="9054" w:type="dxa"/>
          </w:tcPr>
          <w:p w14:paraId="453B48ED" w14:textId="77777777" w:rsidR="00D35766" w:rsidRPr="00D35766" w:rsidRDefault="00D35766" w:rsidP="00D35766">
            <w:pPr>
              <w:spacing w:after="0" w:line="240" w:lineRule="auto"/>
              <w:rPr>
                <w:sz w:val="20"/>
                <w:szCs w:val="20"/>
              </w:rPr>
            </w:pPr>
            <w:r w:rsidRPr="00D35766">
              <w:rPr>
                <w:sz w:val="20"/>
                <w:szCs w:val="20"/>
              </w:rPr>
              <w:lastRenderedPageBreak/>
              <w:t>Thought Process: To determine the reason for the rise in total expenses, it’s necessary to break down the various categories of expenses in both years, including staff costs, operational expenses, and legal commitments. The notes will provide insights into the detailed breakdown of these expenses, helping us identify the largest contributors to the increase.</w:t>
            </w:r>
          </w:p>
          <w:p w14:paraId="0E6994B3" w14:textId="77777777" w:rsidR="00D35766" w:rsidRPr="00D35766" w:rsidRDefault="00D35766" w:rsidP="00D35766">
            <w:pPr>
              <w:spacing w:after="0" w:line="240" w:lineRule="auto"/>
              <w:rPr>
                <w:sz w:val="20"/>
                <w:szCs w:val="20"/>
              </w:rPr>
            </w:pPr>
            <w:r w:rsidRPr="00D35766">
              <w:rPr>
                <w:sz w:val="20"/>
                <w:szCs w:val="20"/>
              </w:rPr>
              <w:lastRenderedPageBreak/>
              <w:t>Answer:</w:t>
            </w:r>
          </w:p>
          <w:p w14:paraId="4D089289" w14:textId="037A6063" w:rsidR="008E2316" w:rsidRPr="00B82C77" w:rsidRDefault="00D35766" w:rsidP="00D35766">
            <w:pPr>
              <w:rPr>
                <w:sz w:val="20"/>
                <w:szCs w:val="20"/>
              </w:rPr>
            </w:pPr>
            <w:r w:rsidRPr="00D35766">
              <w:rPr>
                <w:sz w:val="20"/>
                <w:szCs w:val="20"/>
              </w:rPr>
              <w:t>The increase in total expenses was primarily driven by a substantial rise in staff costs, which went from €710,717.99 in 2020 to €1,385,839.57 in 2021. This increase is due to the Permanent Secretariat being fully staffed with 21 officials in 2021, as well as additional relocation and related allowances</w:t>
            </w:r>
            <w:r w:rsidRPr="00D35766">
              <w:rPr>
                <w:rFonts w:ascii="Arial" w:hAnsi="Arial" w:cs="Arial"/>
                <w:sz w:val="20"/>
                <w:szCs w:val="20"/>
              </w:rPr>
              <w:t>​</w:t>
            </w:r>
            <w:r w:rsidRPr="00D35766">
              <w:rPr>
                <w:sz w:val="20"/>
                <w:szCs w:val="20"/>
              </w:rPr>
              <w:t>(</w:t>
            </w:r>
            <w:proofErr w:type="spellStart"/>
            <w:r w:rsidRPr="00D35766">
              <w:rPr>
                <w:sz w:val="20"/>
                <w:szCs w:val="20"/>
              </w:rPr>
              <w:t>stc_data</w:t>
            </w:r>
            <w:proofErr w:type="spellEnd"/>
            <w:r w:rsidRPr="00D35766">
              <w:rPr>
                <w:sz w:val="20"/>
                <w:szCs w:val="20"/>
              </w:rPr>
              <w:t>)</w:t>
            </w:r>
            <w:r w:rsidRPr="00D35766">
              <w:rPr>
                <w:rFonts w:ascii="Arial" w:hAnsi="Arial" w:cs="Arial"/>
                <w:sz w:val="20"/>
                <w:szCs w:val="20"/>
              </w:rPr>
              <w:t>​</w:t>
            </w:r>
            <w:r w:rsidRPr="00D35766">
              <w:rPr>
                <w:sz w:val="20"/>
                <w:szCs w:val="20"/>
              </w:rPr>
              <w:t>(</w:t>
            </w:r>
            <w:proofErr w:type="spellStart"/>
            <w:r w:rsidRPr="00D35766">
              <w:rPr>
                <w:sz w:val="20"/>
                <w:szCs w:val="20"/>
              </w:rPr>
              <w:t>stc_notes</w:t>
            </w:r>
            <w:proofErr w:type="spellEnd"/>
            <w:r w:rsidRPr="00D35766">
              <w:rPr>
                <w:sz w:val="20"/>
                <w:szCs w:val="20"/>
              </w:rPr>
              <w:t>).</w:t>
            </w:r>
          </w:p>
        </w:tc>
      </w:tr>
      <w:tr w:rsidR="008E2316" w:rsidRPr="00B82C77" w14:paraId="294EDDF9" w14:textId="77777777" w:rsidTr="00AE1FB1">
        <w:trPr>
          <w:trHeight w:val="298"/>
        </w:trPr>
        <w:tc>
          <w:tcPr>
            <w:tcW w:w="1885" w:type="dxa"/>
          </w:tcPr>
          <w:p w14:paraId="63F2664F" w14:textId="4880C864" w:rsidR="008E2316" w:rsidRPr="00B82C77" w:rsidRDefault="00BC08AE" w:rsidP="00AE1FB1">
            <w:pPr>
              <w:rPr>
                <w:sz w:val="20"/>
                <w:szCs w:val="20"/>
              </w:rPr>
            </w:pPr>
            <w:r w:rsidRPr="00BC08AE">
              <w:rPr>
                <w:sz w:val="20"/>
                <w:szCs w:val="20"/>
              </w:rPr>
              <w:t>Unused budget appropriations decreased from €3,254,632.46 in 2020 to €737,686.05 in 2021. What caused this decrease?</w:t>
            </w:r>
          </w:p>
        </w:tc>
        <w:tc>
          <w:tcPr>
            <w:tcW w:w="9054" w:type="dxa"/>
          </w:tcPr>
          <w:p w14:paraId="27339D5C" w14:textId="77777777" w:rsidR="00BC08AE" w:rsidRPr="00BC08AE" w:rsidRDefault="00BC08AE" w:rsidP="00BC08AE">
            <w:pPr>
              <w:spacing w:after="0" w:line="240" w:lineRule="auto"/>
              <w:rPr>
                <w:sz w:val="20"/>
                <w:szCs w:val="20"/>
              </w:rPr>
            </w:pPr>
            <w:r w:rsidRPr="00BC08AE">
              <w:rPr>
                <w:sz w:val="20"/>
                <w:szCs w:val="20"/>
              </w:rPr>
              <w:t>Thought Process: A reduction in unused budget appropriations indicates that more of the allocated budget was utilized in 2021. We can confirm this by reviewing the projects or activities for which funds were committed. The notes should highlight what portions of the budget were carried forward, repaid, or used for specific expenditures.</w:t>
            </w:r>
          </w:p>
          <w:p w14:paraId="0228A7B2" w14:textId="77777777" w:rsidR="00BC08AE" w:rsidRPr="00BC08AE" w:rsidRDefault="00BC08AE" w:rsidP="00BC08AE">
            <w:pPr>
              <w:spacing w:after="0" w:line="240" w:lineRule="auto"/>
              <w:rPr>
                <w:sz w:val="20"/>
                <w:szCs w:val="20"/>
              </w:rPr>
            </w:pPr>
            <w:r w:rsidRPr="00BC08AE">
              <w:rPr>
                <w:sz w:val="20"/>
                <w:szCs w:val="20"/>
              </w:rPr>
              <w:t>Answer:</w:t>
            </w:r>
          </w:p>
          <w:p w14:paraId="654BD59D" w14:textId="6CB5FFE6" w:rsidR="008E2316" w:rsidRPr="00B82C77" w:rsidRDefault="00BC08AE" w:rsidP="00BC08AE">
            <w:pPr>
              <w:rPr>
                <w:rFonts w:hint="eastAsia"/>
                <w:sz w:val="20"/>
                <w:szCs w:val="20"/>
              </w:rPr>
            </w:pPr>
            <w:r w:rsidRPr="00BC08AE">
              <w:rPr>
                <w:sz w:val="20"/>
                <w:szCs w:val="20"/>
              </w:rPr>
              <w:t xml:space="preserve">The decrease in unused budget appropriations was caused by increased utilization of funds for legal commitments in 2021, including contracts for infrastructure and consultancy projects. This led to fewer </w:t>
            </w:r>
            <w:proofErr w:type="gramStart"/>
            <w:r w:rsidRPr="00BC08AE">
              <w:rPr>
                <w:sz w:val="20"/>
                <w:szCs w:val="20"/>
              </w:rPr>
              <w:t>carry-forwards</w:t>
            </w:r>
            <w:proofErr w:type="gramEnd"/>
            <w:r w:rsidRPr="00BC08AE">
              <w:rPr>
                <w:sz w:val="20"/>
                <w:szCs w:val="20"/>
              </w:rPr>
              <w:t xml:space="preserve"> compared to the previous year</w:t>
            </w:r>
            <w:r w:rsidRPr="00BC08AE">
              <w:rPr>
                <w:rFonts w:ascii="Arial" w:hAnsi="Arial" w:cs="Arial"/>
                <w:sz w:val="20"/>
                <w:szCs w:val="20"/>
              </w:rPr>
              <w:t>​</w:t>
            </w:r>
            <w:r w:rsidRPr="00BC08AE">
              <w:rPr>
                <w:sz w:val="20"/>
                <w:szCs w:val="20"/>
              </w:rPr>
              <w:t>(</w:t>
            </w:r>
            <w:proofErr w:type="spellStart"/>
            <w:r w:rsidRPr="00BC08AE">
              <w:rPr>
                <w:sz w:val="20"/>
                <w:szCs w:val="20"/>
              </w:rPr>
              <w:t>stc_notes</w:t>
            </w:r>
            <w:proofErr w:type="spellEnd"/>
            <w:r w:rsidRPr="00BC08AE">
              <w:rPr>
                <w:sz w:val="20"/>
                <w:szCs w:val="20"/>
              </w:rPr>
              <w:t>)</w:t>
            </w:r>
            <w:r w:rsidRPr="00BC08AE">
              <w:rPr>
                <w:rFonts w:ascii="Arial" w:hAnsi="Arial" w:cs="Arial"/>
                <w:sz w:val="20"/>
                <w:szCs w:val="20"/>
              </w:rPr>
              <w:t>​</w:t>
            </w:r>
            <w:r w:rsidRPr="00BC08AE">
              <w:rPr>
                <w:sz w:val="20"/>
                <w:szCs w:val="20"/>
              </w:rPr>
              <w:t>(</w:t>
            </w:r>
            <w:proofErr w:type="spellStart"/>
            <w:r w:rsidRPr="00BC08AE">
              <w:rPr>
                <w:sz w:val="20"/>
                <w:szCs w:val="20"/>
              </w:rPr>
              <w:t>stc_data</w:t>
            </w:r>
            <w:proofErr w:type="spellEnd"/>
            <w:r w:rsidRPr="00BC08AE">
              <w:rPr>
                <w:sz w:val="20"/>
                <w:szCs w:val="20"/>
              </w:rPr>
              <w:t>).</w:t>
            </w:r>
          </w:p>
        </w:tc>
      </w:tr>
    </w:tbl>
    <w:p w14:paraId="25AB2657" w14:textId="77777777" w:rsidR="008E2316" w:rsidRPr="00B82C77" w:rsidRDefault="008E2316">
      <w:pPr>
        <w:rPr>
          <w:rFonts w:hint="eastAsia"/>
          <w:sz w:val="20"/>
          <w:szCs w:val="20"/>
        </w:rPr>
      </w:pPr>
    </w:p>
    <w:sectPr w:rsidR="008E2316" w:rsidRPr="00B82C77" w:rsidSect="0008237D">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1D299C"/>
    <w:multiLevelType w:val="hybridMultilevel"/>
    <w:tmpl w:val="076AD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978C6"/>
    <w:multiLevelType w:val="hybridMultilevel"/>
    <w:tmpl w:val="0A828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624268">
    <w:abstractNumId w:val="1"/>
  </w:num>
  <w:num w:numId="2" w16cid:durableId="156070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2C"/>
    <w:rsid w:val="00006F07"/>
    <w:rsid w:val="0008237D"/>
    <w:rsid w:val="003312E5"/>
    <w:rsid w:val="00463BCC"/>
    <w:rsid w:val="004861E3"/>
    <w:rsid w:val="004C18AD"/>
    <w:rsid w:val="0054273A"/>
    <w:rsid w:val="00626382"/>
    <w:rsid w:val="00683F2C"/>
    <w:rsid w:val="0078365F"/>
    <w:rsid w:val="00840EDF"/>
    <w:rsid w:val="008507DF"/>
    <w:rsid w:val="00893E14"/>
    <w:rsid w:val="008D0778"/>
    <w:rsid w:val="008E2316"/>
    <w:rsid w:val="00A95A23"/>
    <w:rsid w:val="00AE37FC"/>
    <w:rsid w:val="00B82C77"/>
    <w:rsid w:val="00BC08AE"/>
    <w:rsid w:val="00C75A1E"/>
    <w:rsid w:val="00C7781D"/>
    <w:rsid w:val="00C81CC4"/>
    <w:rsid w:val="00D35766"/>
    <w:rsid w:val="00E205BE"/>
    <w:rsid w:val="00FF32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08DDF1"/>
  <w15:chartTrackingRefBased/>
  <w15:docId w15:val="{755F7FB3-446E-E543-9BE4-D97A94BA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F2C"/>
    <w:rPr>
      <w:rFonts w:eastAsiaTheme="majorEastAsia" w:cstheme="majorBidi"/>
      <w:color w:val="272727" w:themeColor="text1" w:themeTint="D8"/>
    </w:rPr>
  </w:style>
  <w:style w:type="paragraph" w:styleId="Title">
    <w:name w:val="Title"/>
    <w:basedOn w:val="Normal"/>
    <w:next w:val="Normal"/>
    <w:link w:val="TitleChar"/>
    <w:uiPriority w:val="10"/>
    <w:qFormat/>
    <w:rsid w:val="00683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F2C"/>
    <w:pPr>
      <w:spacing w:before="160"/>
      <w:jc w:val="center"/>
    </w:pPr>
    <w:rPr>
      <w:i/>
      <w:iCs/>
      <w:color w:val="404040" w:themeColor="text1" w:themeTint="BF"/>
    </w:rPr>
  </w:style>
  <w:style w:type="character" w:customStyle="1" w:styleId="QuoteChar">
    <w:name w:val="Quote Char"/>
    <w:basedOn w:val="DefaultParagraphFont"/>
    <w:link w:val="Quote"/>
    <w:uiPriority w:val="29"/>
    <w:rsid w:val="00683F2C"/>
    <w:rPr>
      <w:i/>
      <w:iCs/>
      <w:color w:val="404040" w:themeColor="text1" w:themeTint="BF"/>
    </w:rPr>
  </w:style>
  <w:style w:type="paragraph" w:styleId="ListParagraph">
    <w:name w:val="List Paragraph"/>
    <w:basedOn w:val="Normal"/>
    <w:uiPriority w:val="34"/>
    <w:qFormat/>
    <w:rsid w:val="00683F2C"/>
    <w:pPr>
      <w:ind w:left="720"/>
      <w:contextualSpacing/>
    </w:pPr>
  </w:style>
  <w:style w:type="character" w:styleId="IntenseEmphasis">
    <w:name w:val="Intense Emphasis"/>
    <w:basedOn w:val="DefaultParagraphFont"/>
    <w:uiPriority w:val="21"/>
    <w:qFormat/>
    <w:rsid w:val="00683F2C"/>
    <w:rPr>
      <w:i/>
      <w:iCs/>
      <w:color w:val="0F4761" w:themeColor="accent1" w:themeShade="BF"/>
    </w:rPr>
  </w:style>
  <w:style w:type="paragraph" w:styleId="IntenseQuote">
    <w:name w:val="Intense Quote"/>
    <w:basedOn w:val="Normal"/>
    <w:next w:val="Normal"/>
    <w:link w:val="IntenseQuoteChar"/>
    <w:uiPriority w:val="30"/>
    <w:qFormat/>
    <w:rsid w:val="00683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F2C"/>
    <w:rPr>
      <w:i/>
      <w:iCs/>
      <w:color w:val="0F4761" w:themeColor="accent1" w:themeShade="BF"/>
    </w:rPr>
  </w:style>
  <w:style w:type="character" w:styleId="IntenseReference">
    <w:name w:val="Intense Reference"/>
    <w:basedOn w:val="DefaultParagraphFont"/>
    <w:uiPriority w:val="32"/>
    <w:qFormat/>
    <w:rsid w:val="00683F2C"/>
    <w:rPr>
      <w:b/>
      <w:bCs/>
      <w:smallCaps/>
      <w:color w:val="0F4761" w:themeColor="accent1" w:themeShade="BF"/>
      <w:spacing w:val="5"/>
    </w:rPr>
  </w:style>
  <w:style w:type="table" w:styleId="TableGrid">
    <w:name w:val="Table Grid"/>
    <w:basedOn w:val="TableNormal"/>
    <w:uiPriority w:val="39"/>
    <w:rsid w:val="00082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61445">
      <w:bodyDiv w:val="1"/>
      <w:marLeft w:val="0"/>
      <w:marRight w:val="0"/>
      <w:marTop w:val="0"/>
      <w:marBottom w:val="0"/>
      <w:divBdr>
        <w:top w:val="none" w:sz="0" w:space="0" w:color="auto"/>
        <w:left w:val="none" w:sz="0" w:space="0" w:color="auto"/>
        <w:bottom w:val="none" w:sz="0" w:space="0" w:color="auto"/>
        <w:right w:val="none" w:sz="0" w:space="0" w:color="auto"/>
      </w:divBdr>
    </w:div>
    <w:div w:id="308436397">
      <w:bodyDiv w:val="1"/>
      <w:marLeft w:val="0"/>
      <w:marRight w:val="0"/>
      <w:marTop w:val="0"/>
      <w:marBottom w:val="0"/>
      <w:divBdr>
        <w:top w:val="none" w:sz="0" w:space="0" w:color="auto"/>
        <w:left w:val="none" w:sz="0" w:space="0" w:color="auto"/>
        <w:bottom w:val="none" w:sz="0" w:space="0" w:color="auto"/>
        <w:right w:val="none" w:sz="0" w:space="0" w:color="auto"/>
      </w:divBdr>
      <w:divsChild>
        <w:div w:id="640156809">
          <w:marLeft w:val="0"/>
          <w:marRight w:val="0"/>
          <w:marTop w:val="0"/>
          <w:marBottom w:val="0"/>
          <w:divBdr>
            <w:top w:val="none" w:sz="0" w:space="0" w:color="auto"/>
            <w:left w:val="none" w:sz="0" w:space="0" w:color="auto"/>
            <w:bottom w:val="none" w:sz="0" w:space="0" w:color="auto"/>
            <w:right w:val="none" w:sz="0" w:space="0" w:color="auto"/>
          </w:divBdr>
          <w:divsChild>
            <w:div w:id="1778479436">
              <w:marLeft w:val="0"/>
              <w:marRight w:val="0"/>
              <w:marTop w:val="0"/>
              <w:marBottom w:val="0"/>
              <w:divBdr>
                <w:top w:val="none" w:sz="0" w:space="0" w:color="auto"/>
                <w:left w:val="none" w:sz="0" w:space="0" w:color="auto"/>
                <w:bottom w:val="none" w:sz="0" w:space="0" w:color="auto"/>
                <w:right w:val="none" w:sz="0" w:space="0" w:color="auto"/>
              </w:divBdr>
              <w:divsChild>
                <w:div w:id="197344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120659">
      <w:bodyDiv w:val="1"/>
      <w:marLeft w:val="0"/>
      <w:marRight w:val="0"/>
      <w:marTop w:val="0"/>
      <w:marBottom w:val="0"/>
      <w:divBdr>
        <w:top w:val="none" w:sz="0" w:space="0" w:color="auto"/>
        <w:left w:val="none" w:sz="0" w:space="0" w:color="auto"/>
        <w:bottom w:val="none" w:sz="0" w:space="0" w:color="auto"/>
        <w:right w:val="none" w:sz="0" w:space="0" w:color="auto"/>
      </w:divBdr>
    </w:div>
    <w:div w:id="801583483">
      <w:bodyDiv w:val="1"/>
      <w:marLeft w:val="0"/>
      <w:marRight w:val="0"/>
      <w:marTop w:val="0"/>
      <w:marBottom w:val="0"/>
      <w:divBdr>
        <w:top w:val="none" w:sz="0" w:space="0" w:color="auto"/>
        <w:left w:val="none" w:sz="0" w:space="0" w:color="auto"/>
        <w:bottom w:val="none" w:sz="0" w:space="0" w:color="auto"/>
        <w:right w:val="none" w:sz="0" w:space="0" w:color="auto"/>
      </w:divBdr>
      <w:divsChild>
        <w:div w:id="1771005737">
          <w:marLeft w:val="0"/>
          <w:marRight w:val="0"/>
          <w:marTop w:val="0"/>
          <w:marBottom w:val="0"/>
          <w:divBdr>
            <w:top w:val="none" w:sz="0" w:space="0" w:color="auto"/>
            <w:left w:val="none" w:sz="0" w:space="0" w:color="auto"/>
            <w:bottom w:val="none" w:sz="0" w:space="0" w:color="auto"/>
            <w:right w:val="none" w:sz="0" w:space="0" w:color="auto"/>
          </w:divBdr>
          <w:divsChild>
            <w:div w:id="473379309">
              <w:marLeft w:val="0"/>
              <w:marRight w:val="0"/>
              <w:marTop w:val="0"/>
              <w:marBottom w:val="0"/>
              <w:divBdr>
                <w:top w:val="none" w:sz="0" w:space="0" w:color="auto"/>
                <w:left w:val="none" w:sz="0" w:space="0" w:color="auto"/>
                <w:bottom w:val="none" w:sz="0" w:space="0" w:color="auto"/>
                <w:right w:val="none" w:sz="0" w:space="0" w:color="auto"/>
              </w:divBdr>
              <w:divsChild>
                <w:div w:id="188177672">
                  <w:marLeft w:val="0"/>
                  <w:marRight w:val="0"/>
                  <w:marTop w:val="0"/>
                  <w:marBottom w:val="0"/>
                  <w:divBdr>
                    <w:top w:val="none" w:sz="0" w:space="0" w:color="auto"/>
                    <w:left w:val="none" w:sz="0" w:space="0" w:color="auto"/>
                    <w:bottom w:val="none" w:sz="0" w:space="0" w:color="auto"/>
                    <w:right w:val="none" w:sz="0" w:space="0" w:color="auto"/>
                  </w:divBdr>
                </w:div>
                <w:div w:id="67838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068926">
      <w:bodyDiv w:val="1"/>
      <w:marLeft w:val="0"/>
      <w:marRight w:val="0"/>
      <w:marTop w:val="0"/>
      <w:marBottom w:val="0"/>
      <w:divBdr>
        <w:top w:val="none" w:sz="0" w:space="0" w:color="auto"/>
        <w:left w:val="none" w:sz="0" w:space="0" w:color="auto"/>
        <w:bottom w:val="none" w:sz="0" w:space="0" w:color="auto"/>
        <w:right w:val="none" w:sz="0" w:space="0" w:color="auto"/>
      </w:divBdr>
      <w:divsChild>
        <w:div w:id="784733844">
          <w:marLeft w:val="0"/>
          <w:marRight w:val="0"/>
          <w:marTop w:val="0"/>
          <w:marBottom w:val="0"/>
          <w:divBdr>
            <w:top w:val="none" w:sz="0" w:space="0" w:color="auto"/>
            <w:left w:val="none" w:sz="0" w:space="0" w:color="auto"/>
            <w:bottom w:val="none" w:sz="0" w:space="0" w:color="auto"/>
            <w:right w:val="none" w:sz="0" w:space="0" w:color="auto"/>
          </w:divBdr>
          <w:divsChild>
            <w:div w:id="967514141">
              <w:marLeft w:val="0"/>
              <w:marRight w:val="0"/>
              <w:marTop w:val="0"/>
              <w:marBottom w:val="0"/>
              <w:divBdr>
                <w:top w:val="none" w:sz="0" w:space="0" w:color="auto"/>
                <w:left w:val="none" w:sz="0" w:space="0" w:color="auto"/>
                <w:bottom w:val="none" w:sz="0" w:space="0" w:color="auto"/>
                <w:right w:val="none" w:sz="0" w:space="0" w:color="auto"/>
              </w:divBdr>
              <w:divsChild>
                <w:div w:id="98829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1332</Words>
  <Characters>7596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Gong</dc:creator>
  <cp:keywords/>
  <dc:description/>
  <cp:lastModifiedBy>Yifei Gong</cp:lastModifiedBy>
  <cp:revision>13</cp:revision>
  <dcterms:created xsi:type="dcterms:W3CDTF">2024-10-21T18:04:00Z</dcterms:created>
  <dcterms:modified xsi:type="dcterms:W3CDTF">2024-10-22T20:03:00Z</dcterms:modified>
</cp:coreProperties>
</file>