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88D0" w14:textId="5BFEB457" w:rsidR="00A11F55" w:rsidRDefault="00382A77" w:rsidP="00382A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382A77">
        <w:rPr>
          <w:b/>
          <w:bCs/>
          <w:sz w:val="28"/>
          <w:szCs w:val="28"/>
        </w:rPr>
        <w:t>тандарты и спецификации в сфере ИТ</w:t>
      </w:r>
    </w:p>
    <w:p w14:paraId="404D49D8" w14:textId="64600221" w:rsidR="00E857F4" w:rsidRDefault="00E857F4" w:rsidP="00E857F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E857F4">
        <w:rPr>
          <w:rFonts w:ascii="inherit" w:eastAsia="Times New Roman" w:hAnsi="inherit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  <w:t>Институт инженеров по электротехнике и радиоэлектронике</w:t>
      </w:r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 xml:space="preserve"> (IEEE) в течение многих лет остается лидирующей научно-технической организацией, в том числе, в создании стандартов документации программного обеспечения. Большинство стандартов разработаны различными комитетами, состоящими из опытных и ответственных инженеров-профессионалов. Некоторые из стандартов IEEE стали также стандартами ANSI (American National Standards Institute). Преимущественно стандарты IEEE легли в основу при составлении МУ по КП. </w:t>
      </w:r>
      <w:proofErr w:type="spellStart"/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Schmidt</w:t>
      </w:r>
      <w:proofErr w:type="spellEnd"/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 xml:space="preserve"> M. </w:t>
      </w:r>
      <w:proofErr w:type="spellStart"/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Implementing</w:t>
      </w:r>
      <w:proofErr w:type="spellEnd"/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 xml:space="preserve"> </w:t>
      </w:r>
      <w:proofErr w:type="spellStart"/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the</w:t>
      </w:r>
      <w:proofErr w:type="spellEnd"/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 xml:space="preserve"> IEEE Software Engineering Standards.</w:t>
      </w:r>
    </w:p>
    <w:p w14:paraId="523E9FFA" w14:textId="77777777" w:rsidR="00E857F4" w:rsidRPr="00E857F4" w:rsidRDefault="00E857F4" w:rsidP="00E857F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</w:p>
    <w:p w14:paraId="7016B729" w14:textId="766F34C8" w:rsidR="00E857F4" w:rsidRDefault="00E857F4" w:rsidP="00E857F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E857F4">
        <w:rPr>
          <w:rFonts w:ascii="inherit" w:eastAsia="Times New Roman" w:hAnsi="inherit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  <w:t>Международная организация по стандартизации (ISO)</w:t>
      </w:r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 xml:space="preserve"> имеет огромное влияние во всем мире, особенно среди организаций производителей, имеющих дело с Евросоюзом (ЕС). В настоящее время фактически все современные стандарты в области ИТ, переведенные и принятые в РФ – это стандарты, подготовленные ISO совместно с международной электротехнической комиссией – МЭК (IEC). Вы знаете, что особое внимание уделяется вопросам обеспечения качества продукции на международном уровне, поэтому, </w:t>
      </w:r>
      <w:proofErr w:type="gramStart"/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согласно постановления</w:t>
      </w:r>
      <w:proofErr w:type="gramEnd"/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 xml:space="preserve"> правительства РФ №113 от 02.02.1998 соблюдение требований ISO 9000 (серия стандартов, регламентирующих управление качеством (менеджмент качества) на предприятиях) – обязательное условие для получения госзаказа.</w:t>
      </w:r>
    </w:p>
    <w:p w14:paraId="2348C8A1" w14:textId="77777777" w:rsidR="00E857F4" w:rsidRPr="00E857F4" w:rsidRDefault="00E857F4" w:rsidP="00E857F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</w:p>
    <w:p w14:paraId="327D9BFA" w14:textId="1AFB9301" w:rsidR="00E857F4" w:rsidRDefault="00E857F4" w:rsidP="00E857F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E857F4">
        <w:rPr>
          <w:rFonts w:ascii="inherit" w:eastAsia="Times New Roman" w:hAnsi="inherit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  <w:t>Институт технологий разработки программного обеспечения</w:t>
      </w:r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 (Software Engineering Institute – SEI – более 1000 статей) был учрежден Министерством обороны США в университете Карнеги-Меллон для поднятия уровня технологии программного обеспечения у подрядчиков Министерства обороны. Работа SEI также была принята многими коммерческими компаниями, которые считают улучшение процесса разработки программного обеспечения своей стратегической корпоративной задачей. Мы обратимся к одному из стандартов, разработанному SEI, который называется Моделью зрелости возможностей (СММ).</w:t>
      </w:r>
    </w:p>
    <w:p w14:paraId="40433F0B" w14:textId="77777777" w:rsidR="00E857F4" w:rsidRPr="00E857F4" w:rsidRDefault="00E857F4" w:rsidP="00E857F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</w:p>
    <w:p w14:paraId="17D597DF" w14:textId="1272B3E2" w:rsidR="00E857F4" w:rsidRDefault="00E857F4" w:rsidP="00E857F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  <w:r w:rsidRPr="00E857F4">
        <w:rPr>
          <w:rFonts w:ascii="inherit" w:eastAsia="Times New Roman" w:hAnsi="inherit" w:cs="Times New Roman"/>
          <w:b/>
          <w:bCs/>
          <w:color w:val="262626"/>
          <w:sz w:val="21"/>
          <w:szCs w:val="21"/>
          <w:bdr w:val="none" w:sz="0" w:space="0" w:color="auto" w:frame="1"/>
          <w:lang w:eastAsia="ru-RU"/>
        </w:rPr>
        <w:t>Консорциум по технологии манипулирования объектами</w:t>
      </w:r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 xml:space="preserve"> (Object Management Group) является некоммерческой организацией, в которую в качестве членов входят около 700 компаний. OMG устанавливает стандарты для распределенных объектно-ориентированных вычислений. Нужно заметить, что OMG использует унифицированный язык моделирования UML в качестве своего стандарта для описания проектов. UML мы будем изучать детально, т.к. использование этого языка совместно с унифицированным процессом фирмы </w:t>
      </w:r>
      <w:proofErr w:type="spellStart"/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>Rational</w:t>
      </w:r>
      <w:proofErr w:type="spellEnd"/>
      <w:r w:rsidRPr="00E857F4"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  <w:t xml:space="preserve"> является основой при проработке ядра курсового проекта.</w:t>
      </w:r>
    </w:p>
    <w:p w14:paraId="1E5899F4" w14:textId="77777777" w:rsidR="00E857F4" w:rsidRDefault="00E857F4" w:rsidP="00E857F4">
      <w:pPr>
        <w:pStyle w:val="a5"/>
        <w:rPr>
          <w:rFonts w:ascii="inherit" w:eastAsia="Times New Roman" w:hAnsi="inherit" w:cs="Times New Roman"/>
          <w:color w:val="262626"/>
          <w:sz w:val="21"/>
          <w:szCs w:val="21"/>
          <w:lang w:eastAsia="ru-RU"/>
        </w:rPr>
      </w:pPr>
    </w:p>
    <w:p w14:paraId="03B2F04D" w14:textId="47EBEE0A" w:rsidR="00E857F4" w:rsidRDefault="00E857F4" w:rsidP="00E857F4">
      <w:pPr>
        <w:pStyle w:val="a5"/>
        <w:ind w:left="360" w:right="283"/>
        <w:rPr>
          <w:rFonts w:cstheme="minorHAnsi"/>
          <w:sz w:val="28"/>
          <w:szCs w:val="28"/>
        </w:rPr>
      </w:pPr>
      <w:r w:rsidRPr="00E857F4">
        <w:rPr>
          <w:rFonts w:cstheme="minorHAnsi"/>
          <w:sz w:val="28"/>
          <w:szCs w:val="28"/>
        </w:rPr>
        <w:t>Стандарты в области программного обеспечения</w:t>
      </w:r>
    </w:p>
    <w:p w14:paraId="4117D40B" w14:textId="77777777" w:rsidR="00E857F4" w:rsidRPr="00E857F4" w:rsidRDefault="00E857F4" w:rsidP="00E857F4">
      <w:pPr>
        <w:pStyle w:val="a5"/>
        <w:ind w:left="360" w:right="283"/>
        <w:rPr>
          <w:rFonts w:cstheme="minorHAnsi"/>
          <w:sz w:val="28"/>
          <w:szCs w:val="28"/>
        </w:rPr>
      </w:pPr>
    </w:p>
    <w:p w14:paraId="02B966EF" w14:textId="7131B110" w:rsidR="00E857F4" w:rsidRDefault="00E857F4" w:rsidP="00E857F4">
      <w:pPr>
        <w:pStyle w:val="a5"/>
        <w:numPr>
          <w:ilvl w:val="0"/>
          <w:numId w:val="1"/>
        </w:numPr>
        <w:ind w:right="283"/>
        <w:rPr>
          <w:rFonts w:cstheme="minorHAnsi"/>
          <w:sz w:val="28"/>
          <w:szCs w:val="28"/>
        </w:rPr>
      </w:pPr>
      <w:r w:rsidRPr="00E857F4">
        <w:rPr>
          <w:rFonts w:cstheme="minorHAnsi"/>
          <w:sz w:val="28"/>
          <w:szCs w:val="28"/>
        </w:rPr>
        <w:t xml:space="preserve">С 1 марта 2012 года (взамен ГОСТ Р ИСО/МЭК 12207-99) введен в </w:t>
      </w:r>
      <w:proofErr w:type="spellStart"/>
      <w:r w:rsidRPr="00E857F4">
        <w:rPr>
          <w:rFonts w:cstheme="minorHAnsi"/>
          <w:sz w:val="28"/>
          <w:szCs w:val="28"/>
        </w:rPr>
        <w:t>действиенациональный</w:t>
      </w:r>
      <w:proofErr w:type="spellEnd"/>
      <w:r w:rsidRPr="00E857F4">
        <w:rPr>
          <w:rFonts w:cstheme="minorHAnsi"/>
          <w:sz w:val="28"/>
          <w:szCs w:val="28"/>
        </w:rPr>
        <w:t xml:space="preserve"> стандарт РФ ГОСТ Р ИСО/МЭК 12207-2010 «Информационная технология. Системная и программная инженерия. Процессы жизненного цикла программных средств» (Утвержден приказом Федерального агентства по техническому регулированию и метрологии от 30 ноября 2010 г. № 631-ст).</w:t>
      </w:r>
    </w:p>
    <w:p w14:paraId="1A62B531" w14:textId="77777777" w:rsidR="00E857F4" w:rsidRDefault="00E857F4" w:rsidP="00E857F4">
      <w:pPr>
        <w:pStyle w:val="a5"/>
        <w:ind w:left="360" w:right="283"/>
        <w:rPr>
          <w:rFonts w:cstheme="minorHAnsi"/>
          <w:sz w:val="28"/>
          <w:szCs w:val="28"/>
        </w:rPr>
      </w:pPr>
    </w:p>
    <w:p w14:paraId="2BA4ED55" w14:textId="77777777" w:rsidR="00E857F4" w:rsidRPr="00E857F4" w:rsidRDefault="00E857F4" w:rsidP="00E857F4">
      <w:pPr>
        <w:pStyle w:val="a5"/>
        <w:numPr>
          <w:ilvl w:val="0"/>
          <w:numId w:val="1"/>
        </w:numPr>
        <w:ind w:right="283"/>
        <w:rPr>
          <w:rFonts w:cstheme="minorHAnsi"/>
          <w:sz w:val="28"/>
          <w:szCs w:val="28"/>
        </w:rPr>
      </w:pPr>
      <w:r w:rsidRPr="00E857F4">
        <w:rPr>
          <w:rFonts w:cstheme="minorHAnsi"/>
          <w:sz w:val="28"/>
          <w:szCs w:val="28"/>
        </w:rPr>
        <w:t xml:space="preserve">Стандарт ISO/IEC 12207 определил не только основные процессы ЖЦ разработки ПС, но и организационные и дополнительные процессы, </w:t>
      </w:r>
      <w:r w:rsidRPr="00E857F4">
        <w:rPr>
          <w:rFonts w:cstheme="minorHAnsi"/>
          <w:sz w:val="28"/>
          <w:szCs w:val="28"/>
        </w:rPr>
        <w:lastRenderedPageBreak/>
        <w:t>которые регламентируют инженерию, планирования и управления качеством ПС.</w:t>
      </w:r>
    </w:p>
    <w:p w14:paraId="74C10335" w14:textId="77777777" w:rsidR="00E857F4" w:rsidRPr="00E857F4" w:rsidRDefault="00E857F4" w:rsidP="00E857F4">
      <w:pPr>
        <w:pStyle w:val="a5"/>
        <w:ind w:left="360" w:right="283"/>
        <w:rPr>
          <w:rFonts w:cstheme="minorHAnsi"/>
          <w:sz w:val="28"/>
          <w:szCs w:val="28"/>
        </w:rPr>
      </w:pPr>
    </w:p>
    <w:p w14:paraId="1DAE91B4" w14:textId="77777777" w:rsidR="00E857F4" w:rsidRPr="00E857F4" w:rsidRDefault="00E857F4" w:rsidP="00E857F4">
      <w:pPr>
        <w:pStyle w:val="a5"/>
        <w:ind w:left="360" w:right="283"/>
        <w:rPr>
          <w:rFonts w:cstheme="minorHAnsi"/>
          <w:sz w:val="28"/>
          <w:szCs w:val="28"/>
        </w:rPr>
      </w:pPr>
    </w:p>
    <w:p w14:paraId="4D1866AE" w14:textId="77777777" w:rsidR="00E857F4" w:rsidRPr="00E857F4" w:rsidRDefault="00E857F4" w:rsidP="00E857F4">
      <w:pPr>
        <w:pStyle w:val="a5"/>
        <w:numPr>
          <w:ilvl w:val="0"/>
          <w:numId w:val="1"/>
        </w:numPr>
        <w:ind w:right="283"/>
        <w:rPr>
          <w:rFonts w:cstheme="minorHAnsi"/>
          <w:sz w:val="28"/>
          <w:szCs w:val="28"/>
        </w:rPr>
      </w:pPr>
      <w:r w:rsidRPr="00E857F4">
        <w:rPr>
          <w:rFonts w:cstheme="minorHAnsi"/>
          <w:sz w:val="28"/>
          <w:szCs w:val="28"/>
        </w:rPr>
        <w:t xml:space="preserve"> Стандарт ГОСТ Р ИСО/МЭК 12207-2010 «Информационная технология. Системная и программная инженерия. Процессы жизненного цикла программных средств» идентичен международному стандарту ISO/IEC 12207:2008 «System </w:t>
      </w:r>
      <w:proofErr w:type="spellStart"/>
      <w:r w:rsidRPr="00E857F4">
        <w:rPr>
          <w:rFonts w:cstheme="minorHAnsi"/>
          <w:sz w:val="28"/>
          <w:szCs w:val="28"/>
        </w:rPr>
        <w:t>and</w:t>
      </w:r>
      <w:proofErr w:type="spellEnd"/>
      <w:r w:rsidRPr="00E857F4">
        <w:rPr>
          <w:rFonts w:cstheme="minorHAnsi"/>
          <w:sz w:val="28"/>
          <w:szCs w:val="28"/>
        </w:rPr>
        <w:t xml:space="preserve"> </w:t>
      </w:r>
      <w:proofErr w:type="spellStart"/>
      <w:r w:rsidRPr="00E857F4">
        <w:rPr>
          <w:rFonts w:cstheme="minorHAnsi"/>
          <w:sz w:val="28"/>
          <w:szCs w:val="28"/>
        </w:rPr>
        <w:t>software</w:t>
      </w:r>
      <w:proofErr w:type="spellEnd"/>
      <w:r w:rsidRPr="00E857F4">
        <w:rPr>
          <w:rFonts w:cstheme="minorHAnsi"/>
          <w:sz w:val="28"/>
          <w:szCs w:val="28"/>
        </w:rPr>
        <w:t xml:space="preserve"> </w:t>
      </w:r>
      <w:proofErr w:type="spellStart"/>
      <w:r w:rsidRPr="00E857F4">
        <w:rPr>
          <w:rFonts w:cstheme="minorHAnsi"/>
          <w:sz w:val="28"/>
          <w:szCs w:val="28"/>
        </w:rPr>
        <w:t>engineering</w:t>
      </w:r>
      <w:proofErr w:type="spellEnd"/>
      <w:r w:rsidRPr="00E857F4">
        <w:rPr>
          <w:rFonts w:cstheme="minorHAnsi"/>
          <w:sz w:val="28"/>
          <w:szCs w:val="28"/>
        </w:rPr>
        <w:t xml:space="preserve"> — Software </w:t>
      </w:r>
      <w:proofErr w:type="spellStart"/>
      <w:r w:rsidRPr="00E857F4">
        <w:rPr>
          <w:rFonts w:cstheme="minorHAnsi"/>
          <w:sz w:val="28"/>
          <w:szCs w:val="28"/>
        </w:rPr>
        <w:t>life</w:t>
      </w:r>
      <w:proofErr w:type="spellEnd"/>
      <w:r w:rsidRPr="00E857F4">
        <w:rPr>
          <w:rFonts w:cstheme="minorHAnsi"/>
          <w:sz w:val="28"/>
          <w:szCs w:val="28"/>
        </w:rPr>
        <w:t xml:space="preserve"> </w:t>
      </w:r>
      <w:proofErr w:type="spellStart"/>
      <w:r w:rsidRPr="00E857F4">
        <w:rPr>
          <w:rFonts w:cstheme="minorHAnsi"/>
          <w:sz w:val="28"/>
          <w:szCs w:val="28"/>
        </w:rPr>
        <w:t>cycleprocesses</w:t>
      </w:r>
      <w:proofErr w:type="spellEnd"/>
      <w:r w:rsidRPr="00E857F4">
        <w:rPr>
          <w:rFonts w:cstheme="minorHAnsi"/>
          <w:sz w:val="28"/>
          <w:szCs w:val="28"/>
        </w:rPr>
        <w:t>».</w:t>
      </w:r>
    </w:p>
    <w:p w14:paraId="3C280C36" w14:textId="77777777" w:rsidR="00E857F4" w:rsidRPr="00E857F4" w:rsidRDefault="00E857F4" w:rsidP="00E857F4">
      <w:pPr>
        <w:pStyle w:val="a5"/>
        <w:ind w:left="360" w:right="283"/>
        <w:rPr>
          <w:rFonts w:cstheme="minorHAnsi"/>
          <w:sz w:val="28"/>
          <w:szCs w:val="28"/>
        </w:rPr>
      </w:pPr>
    </w:p>
    <w:p w14:paraId="5832F302" w14:textId="3B25DFDC" w:rsidR="00E857F4" w:rsidRPr="00E857F4" w:rsidRDefault="00E857F4" w:rsidP="00E857F4">
      <w:pPr>
        <w:pStyle w:val="a5"/>
        <w:ind w:left="360" w:right="283"/>
        <w:rPr>
          <w:b/>
          <w:bCs/>
          <w:sz w:val="28"/>
          <w:szCs w:val="28"/>
        </w:rPr>
      </w:pPr>
    </w:p>
    <w:sectPr w:rsidR="00E857F4" w:rsidRPr="00E85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E442C"/>
    <w:multiLevelType w:val="multilevel"/>
    <w:tmpl w:val="2B84D6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40"/>
    <w:rsid w:val="00320040"/>
    <w:rsid w:val="00382A77"/>
    <w:rsid w:val="00A11F55"/>
    <w:rsid w:val="00E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BDBE"/>
  <w15:chartTrackingRefBased/>
  <w15:docId w15:val="{8FC7D4D1-600A-46E6-A744-7F5AAAF4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57F4"/>
    <w:rPr>
      <w:b/>
      <w:bCs/>
    </w:rPr>
  </w:style>
  <w:style w:type="character" w:styleId="a4">
    <w:name w:val="Hyperlink"/>
    <w:basedOn w:val="a0"/>
    <w:uiPriority w:val="99"/>
    <w:semiHidden/>
    <w:unhideWhenUsed/>
    <w:rsid w:val="00E857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85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2022-02-18T18:25:00Z</dcterms:created>
  <dcterms:modified xsi:type="dcterms:W3CDTF">2022-02-18T18:47:00Z</dcterms:modified>
</cp:coreProperties>
</file>