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C05DB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2"/>
          <w:lang w:val="ru-RU" w:eastAsia="ru-RU"/>
        </w:rPr>
        <w:t xml:space="preserve">ТЕСТ-ПЛАН</w:t>
      </w:r>
    </w:p>
    <w:p w14:paraId="35181B4E">
      <w:pPr>
        <w:spacing w:before="240" w:after="120" w:line="240" w:lineRule="auto"/>
        <w:ind w:firstLine="0"/>
        <w:jc w:val="center"/>
      </w:pPr>
      <w:r>
        <w:rPr>
          <w:rFonts w:cs="Times New Roman"/>
          <w:b/>
          <w:sz w:val="30"/>
          <w:lang w:val="ru-RU" w:eastAsia="ru-RU"/>
        </w:rPr>
        <w:t xml:space="preserve">Арифметический калькулятор</w:t>
      </w:r>
    </w:p>
    <w:p w14:paraId="5AA4EF4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Документ: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Test Plan</w:t>
      </w:r>
    </w:p>
    <w:p w14:paraId="3DD8D6D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Версия приложения: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</w:t>
      </w:r>
    </w:p>
    <w:p w14:paraId="46B4BBC4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Дата: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20.10.2026</w:t>
      </w:r>
    </w:p>
    <w:p w14:paraId="20E6155F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Лабораторная работа № 2</w:t>
      </w:r>
    </w:p>
    <w:p w14:paraId="4A812FC9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Вариант задания: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1.1, арифметический калькулятор</w:t>
      </w:r>
    </w:p>
    <w:p w14:paraId="05B0A3B0">
      <w:r>
        <w:br w:type="page"/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98"/>
        <w:gridCol w:w="4369"/>
      </w:tblGrid>
      <w:tr w14:paraId="0E4C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098" w:type="dxa"/>
          </w:tcPr>
          <w:p w14:paraId="70456FD6">
            <w:pPr>
              <w:pageBreakBefore/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Арифметический калькулятор</w:t>
            </w:r>
          </w:p>
        </w:tc>
        <w:tc>
          <w:tcPr>
            <w:tcW w:w="4369" w:type="dxa"/>
          </w:tcPr>
          <w:p w14:paraId="380C0FE9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приложения: 1.1</w:t>
            </w: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  <w:tr w14:paraId="1D233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098" w:type="dxa"/>
          </w:tcPr>
          <w:p w14:paraId="24CEE00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Test Plan</w:t>
            </w:r>
          </w:p>
        </w:tc>
        <w:tc>
          <w:tcPr>
            <w:tcW w:w="4369" w:type="dxa"/>
          </w:tcPr>
          <w:p w14:paraId="512FD49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>Дата: 20.10.2026</w:t>
            </w: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en-US" w:eastAsia="ru-RU"/>
              </w:rPr>
              <w:t/>
            </w:r>
          </w:p>
        </w:tc>
      </w:tr>
    </w:tbl>
    <w:p w14:paraId="4A553F93">
      <w:pPr>
        <w:spacing w:before="0" w:after="120" w:line="240" w:lineRule="auto"/>
        <w:ind w:firstLine="0"/>
      </w:pPr>
    </w:p>
    <w:p w14:paraId="56BCBED9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Протокол регистрации изменений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2"/>
        <w:gridCol w:w="1358"/>
        <w:gridCol w:w="3539"/>
        <w:gridCol w:w="2504"/>
      </w:tblGrid>
      <w:tr w14:paraId="0DB0A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52" w:type="dxa"/>
          </w:tcPr>
          <w:p w14:paraId="5E6A56A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Дата</w:t>
            </w:r>
          </w:p>
        </w:tc>
        <w:tc>
          <w:tcPr>
            <w:tcW w:w="1358" w:type="dxa"/>
          </w:tcPr>
          <w:p w14:paraId="3C52FDB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Версия документа</w:t>
            </w:r>
          </w:p>
        </w:tc>
        <w:tc>
          <w:tcPr>
            <w:tcW w:w="3539" w:type="dxa"/>
          </w:tcPr>
          <w:p w14:paraId="1AF2CDB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Изменение</w:t>
            </w:r>
          </w:p>
        </w:tc>
        <w:tc>
          <w:tcPr>
            <w:tcW w:w="2504" w:type="dxa"/>
          </w:tcPr>
          <w:p w14:paraId="3763AD76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Автор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06.10.2026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1.0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Подготовлена первая редакция тест-плана для калькулятора версии 1.1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Разработчик проекта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13.10.2026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1.1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Уточнены сценарии проверок, критерии завершения и риски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Разработчик проекта</w:t>
            </w:r>
          </w:p>
        </w:tc>
      </w:tr>
      <w:tr w14:paraId="5558C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52" w:type="dxa"/>
          </w:tcPr>
          <w:p w14:paraId="4FEAE56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20.10.2026</w:t>
            </w:r>
          </w:p>
        </w:tc>
        <w:tc>
          <w:tcPr>
            <w:tcW w:w="1358" w:type="dxa"/>
          </w:tcPr>
          <w:p w14:paraId="7DA145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1.2</w:t>
            </w:r>
          </w:p>
        </w:tc>
        <w:tc>
          <w:tcPr>
            <w:tcW w:w="3539" w:type="dxa"/>
          </w:tcPr>
          <w:p w14:paraId="1FCFB90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Добавлены проверки ввода 1.000.000 и E-записи больших результатов</w:t>
            </w:r>
          </w:p>
        </w:tc>
        <w:tc>
          <w:tcPr>
            <w:tcW w:w="2504" w:type="dxa"/>
          </w:tcPr>
          <w:p w14:paraId="76DB2D8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Разработчик проекта</w:t>
            </w:r>
          </w:p>
        </w:tc>
      </w:tr>
    </w:tbl>
    <w:p w14:paraId="6D2BBE35">
      <w:pPr>
        <w:spacing w:before="0" w:after="120" w:line="240" w:lineRule="auto"/>
        <w:ind w:firstLine="0"/>
      </w:pPr>
    </w:p>
    <w:p w14:paraId="0081047E">
      <w:r>
        <w:br w:type="page"/>
      </w:r>
    </w:p>
    <w:p w14:paraId="491C33CA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>Содержание</w:t>
      </w:r>
    </w:p>
    <w:p w14:paraId="7F6733E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 Введение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1568FB01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1.1. Цель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3A5009A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1.2. Предпосылки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4C42040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1.3. Область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0903FE99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1.4. Идентификация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65FDEF5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2. Требования к тесту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4</w:t>
      </w:r>
    </w:p>
    <w:p w14:paraId="7120063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 Стратегия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5CB70A08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3.1. Типы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5</w:t>
      </w:r>
    </w:p>
    <w:p w14:paraId="1AD9A43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3.2. Порядок применения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43C81E4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3.3. Границы работ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4F9332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3.4. Критерии начала и окончания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170F734E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4. Ресурсы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02EB8FB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5. Основные этапы проекта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6</w:t>
      </w:r>
    </w:p>
    <w:p w14:paraId="7C4541D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 Результаты тестирования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20D4E15B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6.1. Обзор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7</w:t>
      </w:r>
    </w:p>
    <w:p w14:paraId="11E6DB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6.2. Дефекты и изменения</w:t>
        <w:tab/>
        <w:t>7</w:t>
      </w:r>
      <w:r>
        <w:rPr>
          <w:rFonts w:cs="Times New Roman"/>
          <w:b w:val="0"/>
          <w:i w:val="0"/>
          <w:sz w:val="28"/>
          <w:lang w:val="ru-RU" w:eastAsia="ru-RU"/>
        </w:rPr>
      </w:r>
      <w:r>
        <w:rPr>
          <w:rFonts w:cs="Times New Roman"/>
          <w:b w:val="0"/>
          <w:i w:val="0"/>
          <w:sz w:val="28"/>
          <w:lang w:val="ru-RU" w:eastAsia="ru-RU"/>
        </w:rPr>
      </w:r>
    </w:p>
    <w:p w14:paraId="359F99EF">
      <w:pPr>
        <w:tabs>
          <w:tab w:val="right" w:leader="dot" w:pos="9354"/>
        </w:tabs>
        <w:spacing w:before="0" w:after="0" w:line="240" w:lineRule="auto"/>
        <w:ind w:firstLine="0"/>
      </w:pPr>
      <w:r>
        <w:rPr>
          <w:rFonts w:cs="Times New Roman"/>
          <w:b w:val="0"/>
          <w:i w:val="0"/>
          <w:sz w:val="28"/>
          <w:lang w:val="ru-RU" w:eastAsia="ru-RU"/>
        </w:rPr>
        <w:t>7. Риски и пути их разрешения</w:t>
      </w:r>
      <w:r>
        <w:rPr>
          <w:rFonts w:cs="Times New Roman"/>
          <w:b w:val="0"/>
          <w:i w:val="0"/>
          <w:sz w:val="28"/>
          <w:lang w:val="ru-RU" w:eastAsia="ru-RU"/>
        </w:rPr>
        <w:tab/>
      </w:r>
      <w:r>
        <w:rPr>
          <w:rFonts w:cs="Times New Roman"/>
          <w:b w:val="0"/>
          <w:i w:val="0"/>
          <w:sz w:val="28"/>
          <w:lang w:val="ru-RU" w:eastAsia="ru-RU"/>
        </w:rPr>
        <w:t>9</w:t>
      </w:r>
    </w:p>
    <w:p w14:paraId="2A80024D">
      <w:r>
        <w:br w:type="page"/>
      </w:r>
    </w:p>
    <w:p w14:paraId="489FE838">
      <w:pPr>
        <w:spacing w:before="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1. Введение</w:t>
      </w:r>
    </w:p>
    <w:p w14:paraId="27077436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1.1. Цель</w:t>
      </w:r>
    </w:p>
    <w:p w14:paraId="6EBB1F0F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Проверить четыре арифметические операции, ввод чисел, сообщения об ошибках и работу формы калькулятора. В плане указаны тестовые данные, порядок проверок, сроки и условия завершения тестирования.</w:t>
      </w:r>
    </w:p>
    <w:p w14:paraId="4405D62F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1.2. Предпосылки</w:t>
      </w:r>
    </w:p>
    <w:p w14:paraId="6ACA4FC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создано в лабораторной работе № 1. Проверка охватывает исходный код C#, обработку ввода и окно Windows Forms. Разработчик и тестировщик проекта совмещены в одном лице.</w:t>
      </w:r>
    </w:p>
    <w:p w14:paraId="4568AAB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1.3. Область применения</w:t>
      </w:r>
    </w:p>
    <w:p w14:paraId="0175DCD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Пользователь выбирает арифметическую операцию, вводит два десятичных числа и получает результат либо сообщение об ошибке. Приложение служит учебным объектом для проверки на трёх уровнях.</w:t>
      </w:r>
    </w:p>
    <w:p w14:paraId="71C6E51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1.4. Идентификация проекта</w:t>
      </w:r>
    </w:p>
    <w:p w14:paraId="34B6FF5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Название: Арифметический калькулятор. Версия приложения: 1.1. Вариант задания: 1.1. Платформа: .NET 8 и Windows Forms.</w:t>
      </w:r>
      <w:r>
        <w:rPr>
          <w:rFonts w:hint="default" w:cs="Times New Roman"/>
          <w:b w:val="0"/>
          <w:i w:val="0"/>
          <w:sz w:val="28"/>
          <w:lang w:val="en-US" w:eastAsia="ru-RU"/>
        </w:rPr>
        <w:t/>
      </w:r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595F13D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компоненты: Calculator выполняет арифметику; CalculatorSession преобразует строки и обрабатывает ошибки; Form1 управляет полями, кнопками и показом ответа. Program запускает окно.</w:t>
      </w:r>
    </w:p>
    <w:p w14:paraId="12980B5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Функции: сложение, вычитание, умножение и деление (Ф1); ввод дробей с запятой, точкой и группировкой разрядов (Ф2); сообщения при неверном вводе, делении на ноль и переполнении (Ф3); показ и сброс результата (Ф4); очистка формы (Ф5); запуск расчёта клавишей Enter и защита поля результата от редактирования (Ф6).</w:t>
      </w:r>
    </w:p>
    <w:p w14:paraId="31C97265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2. Требования к тесту</w:t>
      </w:r>
    </w:p>
    <w:p w14:paraId="7BB2863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Арифметический модуль Calculator проверяется через публичный метод Calculate.</w:t>
      </w:r>
    </w:p>
    <w:p w14:paraId="5B19D48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операции используются обычные, дробные, отрицательные и ошибочные данные.</w:t>
      </w:r>
    </w:p>
    <w:p w14:paraId="62609690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Стык CalculatorSession с Calculator проверяется отдельными интеграционными сценариями.</w:t>
      </w:r>
    </w:p>
    <w:p w14:paraId="3A09C192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Основные действия пользователя проверяются через форму и ручной чек-лист.</w:t>
      </w:r>
    </w:p>
    <w:p w14:paraId="34C4E63D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Автоматические тесты запускаются одной командой и не зависят от порядка выполнения.</w:t>
      </w:r>
    </w:p>
    <w:p w14:paraId="2EBAE2F4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Каждый исправленный дефект закрепляется воспроизводимым тестом или ручным сценарием.</w:t>
      </w:r>
    </w:p>
    <w:p w14:paraId="63303816">
      <w:pPr>
        <w:pStyle w:val="29"/>
        <w:numPr>
          <w:ilvl w:val="0"/>
          <w:numId w:val="5"/>
        </w:numPr>
        <w:spacing w:before="0" w:after="120" w:line="240" w:lineRule="auto"/>
        <w:ind w:left="360" w:firstLine="0"/>
        <w:contextualSpacing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Для каждой найденной ошибки записываются входные данные, шаги воспроизведения, ожидаемый и фактический результат.</w:t>
      </w:r>
    </w:p>
    <w:p w14:paraId="173CBED1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Классы данных. Обычные: 2+3, 5/2, 1,5×2. Граничные: ноль, 10¹² и decimal.MaxValue. Ошибочные: 5/0, пустая строка, abc, неверная группировка. Ввод: 1.5, 1,5, 1,234.5, 1.234,5 и 1.000.000. При |результат| ≥ 10¹² проверяется E-запись до 6 значащих цифр; округляется только вывод.</w:t>
      </w:r>
    </w:p>
    <w:p w14:paraId="5FC0F37D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Чек-лист проверок: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8"/>
        <w:gridCol w:w="5217"/>
        <w:gridCol w:w="3540"/>
      </w:tblGrid>
      <w:tr w14:paraId="300DF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98" w:type="dxa"/>
          </w:tcPr>
          <w:p w14:paraId="612DD49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217" w:type="dxa"/>
          </w:tcPr>
          <w:p w14:paraId="061217D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Проверка</w:t>
            </w:r>
          </w:p>
        </w:tc>
        <w:tc>
          <w:tcPr>
            <w:tcW w:w="3540" w:type="dxa"/>
          </w:tcPr>
          <w:p w14:paraId="1443DD1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Уровень</w:t>
            </w:r>
          </w:p>
        </w:tc>
      </w:tr>
      <w:tr w14:paraId="4D6E8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4C99FDE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217" w:type="dxa"/>
          </w:tcPr>
          <w:p w14:paraId="1BFEBE7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Четыре арифметические операции дают верный результат</w:t>
            </w:r>
          </w:p>
        </w:tc>
        <w:tc>
          <w:tcPr>
            <w:tcW w:w="3540" w:type="dxa"/>
          </w:tcPr>
          <w:p w14:paraId="77C5E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3B5EE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45CC41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217" w:type="dxa"/>
          </w:tcPr>
          <w:p w14:paraId="6E879F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Отрицательные и дробные числа обрабатываются верно</w:t>
            </w:r>
          </w:p>
        </w:tc>
        <w:tc>
          <w:tcPr>
            <w:tcW w:w="3540" w:type="dxa"/>
          </w:tcPr>
          <w:p w14:paraId="767FF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016CC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07343D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217" w:type="dxa"/>
          </w:tcPr>
          <w:p w14:paraId="63B4458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Дроби с точкой и запятой принимаются</w:t>
            </w:r>
          </w:p>
        </w:tc>
        <w:tc>
          <w:tcPr>
            <w:tcW w:w="3540" w:type="dxa"/>
          </w:tcPr>
          <w:p w14:paraId="49FEC7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720B93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9B8D8F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217" w:type="dxa"/>
          </w:tcPr>
          <w:p w14:paraId="58B2AAC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Записи 1,234.5 и 1.234,5 дают один результат</w:t>
            </w:r>
          </w:p>
        </w:tc>
        <w:tc>
          <w:tcPr>
            <w:tcW w:w="3540" w:type="dxa"/>
          </w:tcPr>
          <w:p w14:paraId="2A8D979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379F8F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FA3122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217" w:type="dxa"/>
          </w:tcPr>
          <w:p w14:paraId="5995E7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Деление на ноль даёт понятное сообщение</w:t>
            </w:r>
          </w:p>
        </w:tc>
        <w:tc>
          <w:tcPr>
            <w:tcW w:w="3540" w:type="dxa"/>
          </w:tcPr>
          <w:p w14:paraId="21BE71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системный</w:t>
            </w:r>
          </w:p>
        </w:tc>
      </w:tr>
      <w:tr w14:paraId="0FFE6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1B4CA6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217" w:type="dxa"/>
          </w:tcPr>
          <w:p w14:paraId="63EF236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Пустой и нечисловой ввод не завершают приложение</w:t>
            </w:r>
          </w:p>
        </w:tc>
        <w:tc>
          <w:tcPr>
            <w:tcW w:w="3540" w:type="dxa"/>
          </w:tcPr>
          <w:p w14:paraId="2CA1465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</w:tr>
      <w:tr w14:paraId="69417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6BD63F9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7</w:t>
            </w:r>
          </w:p>
        </w:tc>
        <w:tc>
          <w:tcPr>
            <w:tcW w:w="5217" w:type="dxa"/>
          </w:tcPr>
          <w:p w14:paraId="775EDA2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Переполнение даёт сообщение, а не ложное число</w:t>
            </w:r>
          </w:p>
        </w:tc>
        <w:tc>
          <w:tcPr>
            <w:tcW w:w="3540" w:type="dxa"/>
          </w:tcPr>
          <w:p w14:paraId="65F3B9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Модульный, интеграционный</w:t>
            </w:r>
          </w:p>
        </w:tc>
      </w:tr>
      <w:tr w14:paraId="3E9DA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312319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8</w:t>
            </w:r>
          </w:p>
        </w:tc>
        <w:tc>
          <w:tcPr>
            <w:tcW w:w="5217" w:type="dxa"/>
          </w:tcPr>
          <w:p w14:paraId="46072A3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изменения числа</w:t>
            </w:r>
          </w:p>
        </w:tc>
        <w:tc>
          <w:tcPr>
            <w:tcW w:w="3540" w:type="dxa"/>
          </w:tcPr>
          <w:p w14:paraId="69B9F69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06D1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02CCE69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9</w:t>
            </w:r>
          </w:p>
        </w:tc>
        <w:tc>
          <w:tcPr>
            <w:tcW w:w="5217" w:type="dxa"/>
          </w:tcPr>
          <w:p w14:paraId="44E5473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Старый ответ исчезает после смены операции</w:t>
            </w:r>
          </w:p>
        </w:tc>
        <w:tc>
          <w:tcPr>
            <w:tcW w:w="3540" w:type="dxa"/>
          </w:tcPr>
          <w:p w14:paraId="2425132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168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729A110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  <w:tc>
          <w:tcPr>
            <w:tcW w:w="5217" w:type="dxa"/>
          </w:tcPr>
          <w:p w14:paraId="71FE996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Кнопка «Очистить» сбрасывает форму</w:t>
            </w:r>
          </w:p>
        </w:tc>
        <w:tc>
          <w:tcPr>
            <w:tcW w:w="3540" w:type="dxa"/>
          </w:tcPr>
          <w:p w14:paraId="1FEBB3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11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Enter запускает расчёт; результат нельзя изменить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Автоматический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12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Ввод 1.000.000 означает миллион; одиночная точка остаётся десятичной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13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От |результат| ≥ 10¹² выводится E-запись до 6 значащих цифр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  <w:tr w14:paraId="185CA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98" w:type="dxa"/>
          </w:tcPr>
          <w:p w14:paraId="5D0BB6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14</w:t>
            </w:r>
          </w:p>
        </w:tc>
        <w:tc>
          <w:tcPr>
            <w:tcW w:w="5217" w:type="dxa"/>
          </w:tcPr>
          <w:p w14:paraId="7F23E76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Неправильные группы и число вне диапазона отклоняются</w:t>
            </w:r>
          </w:p>
        </w:tc>
        <w:tc>
          <w:tcPr>
            <w:tcW w:w="3540" w:type="dxa"/>
          </w:tcPr>
          <w:p w14:paraId="5A3C585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</w:tr>
    </w:tbl>
    <w:p w14:paraId="3FBB12A5">
      <w:pPr>
        <w:spacing w:before="0" w:after="120" w:line="240" w:lineRule="auto"/>
        <w:ind w:firstLine="0"/>
      </w:pPr>
    </w:p>
    <w:p w14:paraId="6FF22807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3. Стратегия тестирования</w:t>
      </w:r>
    </w:p>
    <w:p w14:paraId="1D70C1B0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3.1. Типы тестирования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9"/>
        <w:gridCol w:w="3484"/>
        <w:gridCol w:w="2841"/>
      </w:tblGrid>
      <w:tr w14:paraId="3FF3BD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29" w:type="dxa"/>
          </w:tcPr>
          <w:p w14:paraId="013E17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Метод</w:t>
            </w:r>
          </w:p>
        </w:tc>
        <w:tc>
          <w:tcPr>
            <w:tcW w:w="3484" w:type="dxa"/>
          </w:tcPr>
          <w:p w14:paraId="2E55A45D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Объект</w:t>
            </w:r>
          </w:p>
        </w:tc>
        <w:tc>
          <w:tcPr>
            <w:tcW w:w="2841" w:type="dxa"/>
          </w:tcPr>
          <w:p w14:paraId="739D537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Средство</w:t>
            </w:r>
          </w:p>
        </w:tc>
      </w:tr>
      <w:tr w14:paraId="31174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3D4B8BF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Модульное тестирование</w:t>
            </w:r>
          </w:p>
        </w:tc>
        <w:tc>
          <w:tcPr>
            <w:tcW w:w="3484" w:type="dxa"/>
          </w:tcPr>
          <w:p w14:paraId="4417CB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Calculator.Calculate, 10 сценариев</w:t>
            </w:r>
          </w:p>
        </w:tc>
        <w:tc>
          <w:tcPr>
            <w:tcW w:w="2841" w:type="dxa"/>
          </w:tcPr>
          <w:p w14:paraId="354E453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09FFD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256B008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Интеграционное тестирование</w:t>
            </w:r>
          </w:p>
        </w:tc>
        <w:tc>
          <w:tcPr>
            <w:tcW w:w="3484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CalculatorSession и Calculator, 22 сценария</w:t>
            </w:r>
          </w:p>
        </w:tc>
        <w:tc>
          <w:tcPr>
            <w:tcW w:w="2841" w:type="dxa"/>
          </w:tcPr>
          <w:p w14:paraId="7AEB557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</w:t>
            </w:r>
          </w:p>
        </w:tc>
      </w:tr>
      <w:tr w14:paraId="2D123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29" w:type="dxa"/>
          </w:tcPr>
          <w:p w14:paraId="3AA1A92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Системное тестирование</w:t>
            </w:r>
          </w:p>
        </w:tc>
        <w:tc>
          <w:tcPr>
            <w:tcW w:w="3484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Form1, 11 автоматических и 1 ручной сценарий</w:t>
            </w:r>
          </w:p>
        </w:tc>
        <w:tc>
          <w:tcPr>
            <w:tcW w:w="2841" w:type="dxa"/>
          </w:tcPr>
          <w:p w14:paraId="36A6486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и ручной прогон</w:t>
            </w:r>
          </w:p>
        </w:tc>
      </w:tr>
    </w:tbl>
    <w:p w14:paraId="45382510">
      <w:pPr>
        <w:spacing w:before="0" w:after="120" w:line="240" w:lineRule="auto"/>
        <w:ind w:firstLine="0"/>
      </w:pPr>
    </w:p>
    <w:p w14:paraId="6E39BF55">
      <w:pPr>
        <w:keepNext/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3.2. Порядок применения</w:t>
      </w:r>
    </w:p>
    <w:p w14:paraId="414D1C05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Сначала проверяется Calculator, затем его работа вместе с CalculatorSession, после этого — форма приложения. После исправления ошибки повторяется сценарий, в котором она возникла, и запускаются все автоматические тесты.</w:t>
      </w:r>
      <w:bookmarkStart w:id="0" w:name="_GoBack"/>
      <w:bookmarkEnd w:id="0"/>
      <w:r>
        <w:rPr>
          <w:rFonts w:cs="Times New Roman"/>
          <w:b w:val="0"/>
          <w:i w:val="0"/>
          <w:sz w:val="28"/>
          <w:lang w:val="ru-RU" w:eastAsia="ru-RU"/>
        </w:rPr>
        <w:t/>
      </w:r>
    </w:p>
    <w:p w14:paraId="63A9A443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Модульные и интеграционные тесты используют знание кода и его ветвей. Системные тесты проверяют видимое состояние формы после действий пользователя: ввод, расчёт, ошибку и очистку.</w:t>
      </w:r>
    </w:p>
    <w:p w14:paraId="6D48A1C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3.3. Границы работ</w:t>
      </w:r>
    </w:p>
    <w:p w14:paraId="01AD2628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Проверяются вычисления, обработка ввода и работа формы на Windows. Установка приложения и работа на других операционных системах в план не входят.</w:t>
      </w:r>
    </w:p>
    <w:p w14:paraId="6C5F115B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3.4. Критерии начала и окончания</w:t>
      </w:r>
    </w:p>
    <w:p w14:paraId="5DBCAD62">
      <w:pPr>
        <w:spacing w:before="0" w:after="120" w:line="240" w:lineRule="auto"/>
        <w:ind w:firstLine="709"/>
        <w:jc w:val="both"/>
      </w:pPr>
      <w:r>
        <w:rPr>
          <w:rFonts w:cs="Times New Roman"/>
          <w:b/>
          <w:i w:val="0"/>
          <w:sz w:val="28"/>
          <w:lang w:val="ru-RU" w:eastAsia="ru-RU"/>
        </w:rPr>
        <w:t xml:space="preserve">Критерии начала тестирования:</w:t>
      </w:r>
      <w:r>
        <w:rPr>
          <w:rFonts w:cs="Times New Roman"/>
          <w:b w:val="0"/>
          <w:i w:val="0"/>
          <w:sz w:val="28"/>
          <w:lang w:val="ru-RU" w:eastAsia="ru-RU"/>
        </w:rPr>
        <w:t xml:space="preserve"> функции Ф1–Ф6 реализованы; проект собирается; доступны Windows, .NET и MSTest; известна проверяемая версия исходников.</w:t>
      </w:r>
    </w:p>
    <w:p w14:paraId="1622EC5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Критерии окончания тестирования: все 43 автоматических теста проходят; ручные сценарии выполнены; нет открытых дефектов высокой серьёзности; результаты зафиксированы.</w:t>
      </w:r>
      <w:r>
        <w:rPr>
          <w:rFonts w:cs="Times New Roman"/>
          <w:b w:val="0"/>
          <w:i w:val="0"/>
          <w:sz w:val="28"/>
          <w:lang w:val="ru-RU" w:eastAsia="ru-RU"/>
        </w:rPr>
      </w:r>
    </w:p>
    <w:p w14:paraId="54CB4BE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4. Ресурсы</w:t>
      </w:r>
    </w:p>
    <w:tbl>
      <w:tblPr>
        <w:tblStyle w:val="38"/>
        <w:tblW w:w="935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3"/>
        <w:gridCol w:w="6491"/>
      </w:tblGrid>
      <w:tr w14:paraId="77A9D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863" w:type="dxa"/>
          </w:tcPr>
          <w:p w14:paraId="5E3F4CD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Ресурс</w:t>
            </w:r>
          </w:p>
        </w:tc>
        <w:tc>
          <w:tcPr>
            <w:tcW w:w="6491" w:type="dxa"/>
          </w:tcPr>
          <w:p w14:paraId="19024B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Значение</w:t>
            </w:r>
          </w:p>
        </w:tc>
      </w:tr>
      <w:tr w14:paraId="31FA3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02FC5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Рабочая станция</w:t>
            </w:r>
          </w:p>
        </w:tc>
        <w:tc>
          <w:tcPr>
            <w:tcW w:w="6491" w:type="dxa"/>
          </w:tcPr>
          <w:p w14:paraId="4857C12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Windows x64, 12 логических процессоров</w:t>
            </w:r>
          </w:p>
        </w:tc>
      </w:tr>
      <w:tr w14:paraId="04F96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4473D7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Среда исполнения</w:t>
            </w:r>
          </w:p>
        </w:tc>
        <w:tc>
          <w:tcPr>
            <w:tcW w:w="6491" w:type="dxa"/>
          </w:tcPr>
          <w:p w14:paraId="4F0ED0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.NET 8, Microsoft.WindowsDesktop.App 8.0.20</w:t>
            </w:r>
          </w:p>
        </w:tc>
      </w:tr>
      <w:tr w14:paraId="6E35B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0152B9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Разработка</w:t>
            </w:r>
          </w:p>
        </w:tc>
        <w:tc>
          <w:tcPr>
            <w:tcW w:w="6491" w:type="dxa"/>
          </w:tcPr>
          <w:p w14:paraId="4DAA4BF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C#, Windows Forms, .NET SDK 9.0.305</w:t>
            </w:r>
          </w:p>
        </w:tc>
      </w:tr>
      <w:tr w14:paraId="0083F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0D080F4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Тестирование</w:t>
            </w:r>
          </w:p>
        </w:tc>
        <w:tc>
          <w:tcPr>
            <w:tcW w:w="6491" w:type="dxa"/>
          </w:tcPr>
          <w:p w14:paraId="5FBDF9C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MSTest 3.6.4, Microsoft.NET.Test.Sdk 17.11.1</w:t>
            </w:r>
          </w:p>
        </w:tc>
      </w:tr>
      <w:tr w14:paraId="615FB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63" w:type="dxa"/>
          </w:tcPr>
          <w:p w14:paraId="7ED78B5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Прочее</w:t>
            </w:r>
          </w:p>
        </w:tc>
        <w:tc>
          <w:tcPr>
            <w:tcW w:w="6491" w:type="dxa"/>
          </w:tcPr>
          <w:p w14:paraId="3957EE6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Visual Studio, Git; для ручных проверок — рабочий стол Windows</w:t>
            </w:r>
          </w:p>
        </w:tc>
      </w:tr>
    </w:tbl>
    <w:p w14:paraId="79609DFC">
      <w:pPr>
        <w:spacing w:before="0" w:after="120" w:line="240" w:lineRule="auto"/>
        <w:ind w:firstLine="0"/>
      </w:pPr>
    </w:p>
    <w:p w14:paraId="52CF1C1C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Приложение запускается локально на Windows; сервер и внешние интеграции не нужны. Модульные, интеграционные и автоматические проверки формы выполняются MSTest командой dotnet test SoftwareTesting.sln. Ручные проверки выполняются в окне приложения.</w:t>
      </w:r>
    </w:p>
    <w:p w14:paraId="4D8F9339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Работы выполняет один исполнитель, совмещающий роли разработчика и тестировщика. Результаты сохраняются в репозитории и тест-плане.</w:t>
      </w:r>
    </w:p>
    <w:p w14:paraId="50FE561D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5. Основные этапы проекта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5"/>
        <w:gridCol w:w="5847"/>
        <w:gridCol w:w="2122"/>
        <w:gridCol w:w="878"/>
      </w:tblGrid>
      <w:tr w14:paraId="7BAC5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05" w:type="dxa"/>
          </w:tcPr>
          <w:p w14:paraId="5B379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5847" w:type="dxa"/>
          </w:tcPr>
          <w:p w14:paraId="4404EA7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2122" w:type="dxa"/>
          </w:tcPr>
          <w:p w14:paraId="4EDAEE0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Плановые даты</w:t>
            </w:r>
          </w:p>
        </w:tc>
        <w:tc>
          <w:tcPr>
            <w:tcW w:w="878" w:type="dxa"/>
          </w:tcPr>
          <w:p w14:paraId="4CFB75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Дней</w:t>
            </w:r>
          </w:p>
        </w:tc>
      </w:tr>
      <w:tr w14:paraId="609DD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5226B2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5847" w:type="dxa"/>
          </w:tcPr>
          <w:p w14:paraId="35DB33A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Подготовка версии и среды</w:t>
            </w:r>
          </w:p>
        </w:tc>
        <w:tc>
          <w:tcPr>
            <w:tcW w:w="2122" w:type="dxa"/>
          </w:tcPr>
          <w:p w14:paraId="799ECA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</w:t>
            </w:r>
          </w:p>
        </w:tc>
        <w:tc>
          <w:tcPr>
            <w:tcW w:w="878" w:type="dxa"/>
          </w:tcPr>
          <w:p w14:paraId="5A7F3F7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52A94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20DECB0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5847" w:type="dxa"/>
          </w:tcPr>
          <w:p w14:paraId="7FA17CE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Уточнение тестовых данных и плана</w:t>
            </w:r>
          </w:p>
        </w:tc>
        <w:tc>
          <w:tcPr>
            <w:tcW w:w="2122" w:type="dxa"/>
          </w:tcPr>
          <w:p w14:paraId="0189EA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01.10–02.10</w:t>
            </w:r>
          </w:p>
        </w:tc>
        <w:tc>
          <w:tcPr>
            <w:tcW w:w="878" w:type="dxa"/>
          </w:tcPr>
          <w:p w14:paraId="686F57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</w:tr>
      <w:tr w14:paraId="6511C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737D6C9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5847" w:type="dxa"/>
          </w:tcPr>
          <w:p w14:paraId="30A2BA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модульных проверок</w:t>
            </w:r>
          </w:p>
        </w:tc>
        <w:tc>
          <w:tcPr>
            <w:tcW w:w="2122" w:type="dxa"/>
          </w:tcPr>
          <w:p w14:paraId="67056E9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03.10</w:t>
            </w:r>
          </w:p>
        </w:tc>
        <w:tc>
          <w:tcPr>
            <w:tcW w:w="878" w:type="dxa"/>
          </w:tcPr>
          <w:p w14:paraId="5F6F924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1BBE0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62CC6C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5847" w:type="dxa"/>
          </w:tcPr>
          <w:p w14:paraId="33DFDAA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Повтор интеграционных проверок</w:t>
            </w:r>
          </w:p>
        </w:tc>
        <w:tc>
          <w:tcPr>
            <w:tcW w:w="2122" w:type="dxa"/>
          </w:tcPr>
          <w:p w14:paraId="1FA33A6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04.10</w:t>
            </w:r>
          </w:p>
        </w:tc>
        <w:tc>
          <w:tcPr>
            <w:tcW w:w="878" w:type="dxa"/>
          </w:tcPr>
          <w:p w14:paraId="6CDA4F6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243FC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317B62D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5847" w:type="dxa"/>
          </w:tcPr>
          <w:p w14:paraId="506EE1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Системные и ручные проверки</w:t>
            </w:r>
          </w:p>
        </w:tc>
        <w:tc>
          <w:tcPr>
            <w:tcW w:w="2122" w:type="dxa"/>
          </w:tcPr>
          <w:p w14:paraId="4EBE9D0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05.10</w:t>
            </w:r>
          </w:p>
        </w:tc>
        <w:tc>
          <w:tcPr>
            <w:tcW w:w="878" w:type="dxa"/>
          </w:tcPr>
          <w:p w14:paraId="070F842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  <w:tr w14:paraId="03DA4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05" w:type="dxa"/>
          </w:tcPr>
          <w:p w14:paraId="6DF35A3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  <w:tc>
          <w:tcPr>
            <w:tcW w:w="5847" w:type="dxa"/>
          </w:tcPr>
          <w:p w14:paraId="3E1873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Анализ и оформление результатов</w:t>
            </w:r>
          </w:p>
        </w:tc>
        <w:tc>
          <w:tcPr>
            <w:tcW w:w="2122" w:type="dxa"/>
          </w:tcPr>
          <w:p w14:paraId="39B8553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06.10</w:t>
            </w:r>
          </w:p>
        </w:tc>
        <w:tc>
          <w:tcPr>
            <w:tcW w:w="878" w:type="dxa"/>
          </w:tcPr>
          <w:p w14:paraId="4E2073A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</w:tr>
    </w:tbl>
    <w:p w14:paraId="33CCEB10">
      <w:pPr>
        <w:spacing w:before="0" w:after="120" w:line="240" w:lineRule="auto"/>
        <w:ind w:firstLine="0"/>
      </w:pPr>
    </w:p>
    <w:p w14:paraId="1E30E556">
      <w:pPr>
        <w:spacing w:before="0" w:after="120" w:line="240" w:lineRule="auto"/>
        <w:ind w:firstLine="709"/>
        <w:jc w:val="both"/>
        <w:keepNext/>
      </w:pPr>
      <w:r>
        <w:rPr>
          <w:rFonts w:cs="Times New Roman"/>
          <w:b w:val="0"/>
          <w:i w:val="0"/>
          <w:sz w:val="28"/>
          <w:lang w:val="ru-RU" w:eastAsia="ru-RU"/>
        </w:rPr>
        <w:t xml:space="preserve">Диаграмма Ганта, план на октябрь 2026 года:</w:t>
      </w:r>
    </w:p>
    <w:tbl>
      <w:tblPr>
        <w:tblStyle w:val="38"/>
        <w:tblW w:w="934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5"/>
        <w:gridCol w:w="807"/>
        <w:gridCol w:w="807"/>
        <w:gridCol w:w="807"/>
        <w:gridCol w:w="807"/>
        <w:gridCol w:w="807"/>
        <w:gridCol w:w="808"/>
      </w:tblGrid>
      <w:tr w14:paraId="07BCD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505" w:type="dxa"/>
          </w:tcPr>
          <w:p w14:paraId="13FA853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</w:t>
            </w:r>
          </w:p>
        </w:tc>
        <w:tc>
          <w:tcPr>
            <w:tcW w:w="807" w:type="dxa"/>
          </w:tcPr>
          <w:p w14:paraId="31209F4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1</w:t>
            </w:r>
          </w:p>
        </w:tc>
        <w:tc>
          <w:tcPr>
            <w:tcW w:w="807" w:type="dxa"/>
          </w:tcPr>
          <w:p w14:paraId="7D1889C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2</w:t>
            </w:r>
          </w:p>
        </w:tc>
        <w:tc>
          <w:tcPr>
            <w:tcW w:w="807" w:type="dxa"/>
          </w:tcPr>
          <w:p w14:paraId="45906F8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3</w:t>
            </w:r>
          </w:p>
        </w:tc>
        <w:tc>
          <w:tcPr>
            <w:tcW w:w="807" w:type="dxa"/>
          </w:tcPr>
          <w:p w14:paraId="2E59580C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4</w:t>
            </w:r>
          </w:p>
        </w:tc>
        <w:tc>
          <w:tcPr>
            <w:tcW w:w="807" w:type="dxa"/>
          </w:tcPr>
          <w:p w14:paraId="603BD10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5</w:t>
            </w:r>
          </w:p>
        </w:tc>
        <w:tc>
          <w:tcPr>
            <w:tcW w:w="808" w:type="dxa"/>
          </w:tcPr>
          <w:p w14:paraId="0F8A62D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6</w:t>
            </w:r>
          </w:p>
        </w:tc>
      </w:tr>
      <w:tr w14:paraId="113CD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350B172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1. Подготовка</w:t>
            </w:r>
          </w:p>
        </w:tc>
        <w:tc>
          <w:tcPr>
            <w:tcW w:w="807" w:type="dxa"/>
          </w:tcPr>
          <w:p w14:paraId="1EC18F1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6A545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4D2F39E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023C15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B6B74B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72A34A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28CDC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2A3680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2. Данные и план</w:t>
            </w:r>
          </w:p>
        </w:tc>
        <w:tc>
          <w:tcPr>
            <w:tcW w:w="807" w:type="dxa"/>
          </w:tcPr>
          <w:p w14:paraId="274D55A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00B77A9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X</w:t>
            </w:r>
          </w:p>
        </w:tc>
        <w:tc>
          <w:tcPr>
            <w:tcW w:w="807" w:type="dxa"/>
          </w:tcPr>
          <w:p w14:paraId="5485677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335A7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6037130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54C2B6D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13D9F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12B0B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3. Модульное тестирование</w:t>
            </w:r>
          </w:p>
        </w:tc>
        <w:tc>
          <w:tcPr>
            <w:tcW w:w="807" w:type="dxa"/>
          </w:tcPr>
          <w:p w14:paraId="32CD23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1CE502C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9AD2C2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15E6551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7" w:type="dxa"/>
          </w:tcPr>
          <w:p w14:paraId="238E5C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60D505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7350B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2B66B9C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4. Интеграционное тестирование</w:t>
            </w:r>
          </w:p>
        </w:tc>
        <w:tc>
          <w:tcPr>
            <w:tcW w:w="807" w:type="dxa"/>
          </w:tcPr>
          <w:p w14:paraId="058C5F50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30A5BD6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E2C746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02108C4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7" w:type="dxa"/>
          </w:tcPr>
          <w:p w14:paraId="0C6A239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  <w:tc>
          <w:tcPr>
            <w:tcW w:w="808" w:type="dxa"/>
          </w:tcPr>
          <w:p w14:paraId="08077E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</w:tr>
      <w:tr w14:paraId="516D1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74AFB7E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5. Системное тестирование</w:t>
            </w:r>
          </w:p>
        </w:tc>
        <w:tc>
          <w:tcPr>
            <w:tcW w:w="807" w:type="dxa"/>
          </w:tcPr>
          <w:p w14:paraId="29920A7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B83E41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18881EC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9F5F72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584B57B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  <w:tc>
          <w:tcPr>
            <w:tcW w:w="808" w:type="dxa"/>
          </w:tcPr>
          <w:p w14:paraId="1AA65DE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/>
            </w:r>
          </w:p>
        </w:tc>
      </w:tr>
      <w:tr w14:paraId="69A1D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505" w:type="dxa"/>
          </w:tcPr>
          <w:p w14:paraId="67F611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6. Анализ и документация</w:t>
            </w:r>
          </w:p>
        </w:tc>
        <w:tc>
          <w:tcPr>
            <w:tcW w:w="807" w:type="dxa"/>
          </w:tcPr>
          <w:p w14:paraId="67FE51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2B56773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7E4B49C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6078971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7" w:type="dxa"/>
          </w:tcPr>
          <w:p w14:paraId="56E49B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808" w:type="dxa"/>
          </w:tcPr>
          <w:p w14:paraId="37FB631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ascii="Times New Roman" w:hAnsi="Times New Roman"/>
                <w:sz w:val="22"/>
              </w:rPr>
              <w:t xml:space="preserve">X</w:t>
            </w:r>
          </w:p>
        </w:tc>
      </w:tr>
    </w:tbl>
    <w:p w14:paraId="7FEAA482">
      <w:pPr>
        <w:spacing w:before="0" w:after="120" w:line="240" w:lineRule="auto"/>
        <w:ind w:firstLine="0"/>
      </w:pPr>
    </w:p>
    <w:p w14:paraId="7682DEAB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 xml:space="preserve">Плановые контрольные даты: 01.10 — подготовка среды; 02.10 — готовность тестовых данных; 03.10 — модульные проверки; 04.10 — интеграционные; 05.10 — системные и ручные проверки; 06.10 — анализ ошибок и оформление результатов.</w:t>
      </w:r>
    </w:p>
    <w:p w14:paraId="4BFAF0D8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30"/>
          <w:lang w:val="ru-RU" w:eastAsia="ru-RU"/>
        </w:rPr>
        <w:t xml:space="preserve">6. Результаты тестирования</w:t>
      </w:r>
    </w:p>
    <w:p w14:paraId="1F3BCFA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 xml:space="preserve">6.1. Обзор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73"/>
        <w:gridCol w:w="2282"/>
        <w:gridCol w:w="1299"/>
      </w:tblGrid>
      <w:tr w14:paraId="49A20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73" w:type="dxa"/>
          </w:tcPr>
          <w:p w14:paraId="28080E01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Показатель</w:t>
            </w:r>
          </w:p>
        </w:tc>
        <w:tc>
          <w:tcPr>
            <w:tcW w:w="2282" w:type="dxa"/>
          </w:tcPr>
          <w:p w14:paraId="4AFFD99E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План</w:t>
            </w:r>
          </w:p>
        </w:tc>
        <w:tc>
          <w:tcPr>
            <w:tcW w:w="1299" w:type="dxa"/>
          </w:tcPr>
          <w:p w14:paraId="19CB5880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Факт</w:t>
            </w:r>
          </w:p>
        </w:tc>
      </w:tr>
      <w:tr w14:paraId="4C7FC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5318EDF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Модульных тестов</w:t>
            </w:r>
          </w:p>
        </w:tc>
        <w:tc>
          <w:tcPr>
            <w:tcW w:w="2282" w:type="dxa"/>
          </w:tcPr>
          <w:p w14:paraId="5AF1304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не менее 10</w:t>
            </w:r>
          </w:p>
        </w:tc>
        <w:tc>
          <w:tcPr>
            <w:tcW w:w="1299" w:type="dxa"/>
          </w:tcPr>
          <w:p w14:paraId="23BA8BE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10</w:t>
            </w:r>
          </w:p>
        </w:tc>
      </w:tr>
      <w:tr w14:paraId="7A167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4521CF0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Интеграционных тестов</w:t>
            </w:r>
          </w:p>
        </w:tc>
        <w:tc>
          <w:tcPr>
            <w:tcW w:w="228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22</w:t>
            </w:r>
          </w:p>
        </w:tc>
        <w:tc>
          <w:tcPr>
            <w:tcW w:w="129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22</w:t>
            </w:r>
          </w:p>
        </w:tc>
      </w:tr>
      <w:tr w14:paraId="31783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18A4208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Автоматических тестов формы</w:t>
            </w:r>
          </w:p>
        </w:tc>
        <w:tc>
          <w:tcPr>
            <w:tcW w:w="228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не менее 11</w:t>
            </w:r>
          </w:p>
        </w:tc>
        <w:tc>
          <w:tcPr>
            <w:tcW w:w="129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11</w:t>
            </w:r>
          </w:p>
        </w:tc>
      </w:tr>
      <w:tr w14:paraId="03E82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73" w:type="dxa"/>
          </w:tcPr>
          <w:p w14:paraId="611B94B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Открытых дефектов по автотестам</w:t>
            </w:r>
          </w:p>
        </w:tc>
        <w:tc>
          <w:tcPr>
            <w:tcW w:w="2282" w:type="dxa"/>
          </w:tcPr>
          <w:p w14:paraId="35598D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 высокой серьёзности</w:t>
            </w:r>
          </w:p>
        </w:tc>
        <w:tc>
          <w:tcPr>
            <w:tcW w:w="1299" w:type="dxa"/>
          </w:tcPr>
          <w:p w14:paraId="55977A5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0</w:t>
            </w:r>
          </w:p>
        </w:tc>
      </w:tr>
    </w:tbl>
    <w:p w14:paraId="1AEFFA75">
      <w:pPr>
        <w:spacing w:before="0" w:after="120" w:line="240" w:lineRule="auto"/>
        <w:ind w:firstLine="0"/>
      </w:pPr>
    </w:p>
    <w:p w14:paraId="2CAF441E">
      <w:pPr>
        <w:spacing w:before="240" w:after="120" w:line="240" w:lineRule="auto"/>
        <w:ind w:firstLine="0"/>
        <w:jc w:val="left"/>
      </w:pPr>
      <w:r>
        <w:rPr>
          <w:rFonts w:cs="Times New Roman"/>
          <w:b/>
          <w:sz w:val="28"/>
          <w:lang w:val="ru-RU" w:eastAsia="ru-RU"/>
        </w:rPr>
        <w:t>6.2. Дефекты и изменения</w:t>
      </w:r>
    </w:p>
    <w:tbl>
      <w:tblPr>
        <w:tblStyle w:val="38"/>
        <w:tblW w:w="93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2554"/>
        <w:gridCol w:w="4848"/>
        <w:gridCol w:w="1329"/>
      </w:tblGrid>
      <w:tr w14:paraId="4C9FC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21" w:type="dxa"/>
          </w:tcPr>
          <w:p w14:paraId="381AA614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2554" w:type="dxa"/>
          </w:tcPr>
          <w:p w14:paraId="042C2137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Этап обнаружения</w:t>
            </w:r>
          </w:p>
        </w:tc>
        <w:tc>
          <w:tcPr>
            <w:tcW w:w="4848" w:type="dxa"/>
          </w:tcPr>
          <w:p w14:paraId="5DD6DD62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Описание</w:t>
            </w:r>
          </w:p>
        </w:tc>
        <w:tc>
          <w:tcPr>
            <w:tcW w:w="1329" w:type="dxa"/>
          </w:tcPr>
          <w:p w14:paraId="2AAFBFA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Статус</w:t>
            </w:r>
          </w:p>
        </w:tc>
      </w:tr>
      <w:tr w14:paraId="78111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5FD1007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Д1</w:t>
            </w:r>
          </w:p>
        </w:tc>
        <w:tc>
          <w:tcPr>
            <w:tcW w:w="2554" w:type="dxa"/>
          </w:tcPr>
          <w:p w14:paraId="361B4BF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Поддержка * добавлена для прямого вызова; в форме этого пункта нет</w:t>
            </w:r>
          </w:p>
        </w:tc>
        <w:tc>
          <w:tcPr>
            <w:tcW w:w="132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Добавлено</w:t>
            </w:r>
          </w:p>
        </w:tc>
      </w:tr>
      <w:tr w14:paraId="25B3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2C907E5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Д2</w:t>
            </w:r>
          </w:p>
        </w:tc>
        <w:tc>
          <w:tcPr>
            <w:tcW w:w="2554" w:type="dxa"/>
          </w:tcPr>
          <w:p w14:paraId="0A6D33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Модульный</w:t>
            </w:r>
          </w:p>
        </w:tc>
        <w:tc>
          <w:tcPr>
            <w:tcW w:w="4848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Поддержка / добавлена для прямого вызова; в форме этого пункта нет</w:t>
            </w:r>
          </w:p>
        </w:tc>
        <w:tc>
          <w:tcPr>
            <w:tcW w:w="1329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Добавлено</w:t>
            </w:r>
          </w:p>
        </w:tc>
      </w:tr>
      <w:tr w14:paraId="46D7D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63B7490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Д3</w:t>
            </w:r>
          </w:p>
        </w:tc>
        <w:tc>
          <w:tcPr>
            <w:tcW w:w="2554" w:type="dxa"/>
          </w:tcPr>
          <w:p w14:paraId="0657657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553FC1A7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1,234.5 не распознавалась</w:t>
            </w:r>
          </w:p>
        </w:tc>
        <w:tc>
          <w:tcPr>
            <w:tcW w:w="1329" w:type="dxa"/>
          </w:tcPr>
          <w:p w14:paraId="0076F3AB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5A78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0500F131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Д4</w:t>
            </w:r>
          </w:p>
        </w:tc>
        <w:tc>
          <w:tcPr>
            <w:tcW w:w="2554" w:type="dxa"/>
          </w:tcPr>
          <w:p w14:paraId="743F1E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Интеграционный</w:t>
            </w:r>
          </w:p>
        </w:tc>
        <w:tc>
          <w:tcPr>
            <w:tcW w:w="4848" w:type="dxa"/>
          </w:tcPr>
          <w:p w14:paraId="3F0460A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Запись 1.234,5 не распознавалась</w:t>
            </w:r>
          </w:p>
        </w:tc>
        <w:tc>
          <w:tcPr>
            <w:tcW w:w="1329" w:type="dxa"/>
          </w:tcPr>
          <w:p w14:paraId="6758A1B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3E40E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2351FFF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Д5</w:t>
            </w:r>
          </w:p>
        </w:tc>
        <w:tc>
          <w:tcPr>
            <w:tcW w:w="2554" w:type="dxa"/>
          </w:tcPr>
          <w:p w14:paraId="423C82A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72A261D2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числа оставался старый ответ</w:t>
            </w:r>
          </w:p>
        </w:tc>
        <w:tc>
          <w:tcPr>
            <w:tcW w:w="1329" w:type="dxa"/>
          </w:tcPr>
          <w:p w14:paraId="1A83C56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Д6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смены операции оставался старый ответ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Д7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Ввод 1.000.000 отклонялся; реализовано уточнённое требование группировки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Закрыт</w:t>
            </w:r>
          </w:p>
        </w:tc>
      </w:tr>
      <w:tr w14:paraId="7A143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21" w:type="dxa"/>
          </w:tcPr>
          <w:p w14:paraId="17F863D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Д8</w:t>
            </w:r>
          </w:p>
        </w:tc>
        <w:tc>
          <w:tcPr>
            <w:tcW w:w="2554" w:type="dxa"/>
          </w:tcPr>
          <w:p w14:paraId="7CAB73A5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Интеграционный, системный</w:t>
            </w:r>
          </w:p>
        </w:tc>
        <w:tc>
          <w:tcPr>
            <w:tcW w:w="4848" w:type="dxa"/>
          </w:tcPr>
          <w:p w14:paraId="04808A4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Крупный допустимый ответ выводился полностью; реализована согласованная E-запись</w:t>
            </w:r>
          </w:p>
        </w:tc>
        <w:tc>
          <w:tcPr>
            <w:tcW w:w="1329" w:type="dxa"/>
          </w:tcPr>
          <w:p w14:paraId="45ACDA1F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Закрыт</w:t>
            </w:r>
          </w:p>
        </w:tc>
      </w:tr>
    </w:tbl>
    <w:p w14:paraId="528696CC">
      <w:pPr>
        <w:spacing w:before="0" w:after="120" w:line="240" w:lineRule="auto"/>
        <w:ind w:firstLine="0"/>
      </w:pPr>
    </w:p>
    <w:p w14:paraId="2E549880">
      <w:pPr>
        <w:spacing w:before="0" w:after="120" w:line="240" w:lineRule="auto"/>
        <w:ind w:firstLine="709"/>
        <w:jc w:val="both"/>
      </w:pPr>
      <w:r>
        <w:rPr>
          <w:rFonts w:cs="Times New Roman"/>
          <w:b w:val="0"/>
          <w:i w:val="0"/>
          <w:sz w:val="28"/>
          <w:lang w:val="ru-RU" w:eastAsia="ru-RU"/>
        </w:rPr>
        <w:t>Повторный прогон 27.10.2026: 43 из 43 автоматических тестов пройдены на коммите 67733b7. До реализации новых требований на коммите b2914d3 проходил 31 тест, 12 не проходили. Данные, ожидаемые и фактические результаты приведены в отдельном протоколе от 27.10.2026. Ручная проверка масштаба Windows 100% и 150% не проведена.</w:t>
      </w:r>
    </w:p>
    <w:p w14:paraId="1C6D2C09">
      <w:pPr>
        <w:spacing w:before="240" w:after="120" w:line="240" w:lineRule="auto"/>
        <w:ind w:firstLine="0"/>
        <w:jc w:val="left"/>
        <w:pageBreakBefore/>
      </w:pPr>
      <w:r>
        <w:rPr>
          <w:rFonts w:cs="Times New Roman"/>
          <w:b/>
          <w:sz w:val="30"/>
          <w:lang w:val="ru-RU" w:eastAsia="ru-RU"/>
        </w:rPr>
        <w:t xml:space="preserve">7. Риски и пути их разрешения</w:t>
      </w:r>
    </w:p>
    <w:tbl>
      <w:tblPr>
        <w:tblStyle w:val="38"/>
        <w:tblW w:w="93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2"/>
        <w:gridCol w:w="4440"/>
        <w:gridCol w:w="4342"/>
      </w:tblGrid>
      <w:tr w14:paraId="1A85F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72" w:type="dxa"/>
          </w:tcPr>
          <w:p w14:paraId="667C4FDA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№</w:t>
            </w:r>
          </w:p>
        </w:tc>
        <w:tc>
          <w:tcPr>
            <w:tcW w:w="4440" w:type="dxa"/>
          </w:tcPr>
          <w:p w14:paraId="5DCBC7B3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Риск</w:t>
            </w:r>
          </w:p>
        </w:tc>
        <w:tc>
          <w:tcPr>
            <w:tcW w:w="4342" w:type="dxa"/>
          </w:tcPr>
          <w:p w14:paraId="6FE2773F">
            <w:pPr>
              <w:widowControl/>
              <w:spacing w:before="0" w:after="0" w:line="240" w:lineRule="auto"/>
              <w:ind w:firstLine="0"/>
              <w:jc w:val="center"/>
              <w:rPr>
                <w:kern w:val="0"/>
              </w:rPr>
            </w:pPr>
            <w:r>
              <w:rPr>
                <w:rFonts w:cs="Times New Roman" w:ascii="Times New Roman" w:hAnsi="Times New Roman"/>
                <w:b/>
                <w:i w:val="0"/>
                <w:kern w:val="0"/>
                <w:sz w:val="22"/>
                <w:lang w:val="ru-RU" w:eastAsia="ru-RU"/>
              </w:rPr>
              <w:t xml:space="preserve">Способ разрешения и результат</w:t>
            </w:r>
          </w:p>
        </w:tc>
      </w:tr>
      <w:tr w14:paraId="18103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cantSplit/>
        </w:trPr>
        <w:tc>
          <w:tcPr>
            <w:tcW w:w="572" w:type="dxa"/>
          </w:tcPr>
          <w:p w14:paraId="73BD262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Р1</w:t>
            </w:r>
          </w:p>
        </w:tc>
        <w:tc>
          <w:tcPr>
            <w:tcW w:w="4440" w:type="dxa"/>
          </w:tcPr>
          <w:p w14:paraId="795CB4BA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Числа с точкой и запятой могут считываться неправильно</w:t>
            </w:r>
          </w:p>
        </w:tc>
        <w:tc>
          <w:tcPr>
            <w:tcW w:w="434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Проверены прежние форматы и 1.000.000; неправильные группы 1.00.000 отклоняются. Одиночная точка остаётся десятичной.</w:t>
            </w:r>
          </w:p>
        </w:tc>
      </w:tr>
      <w:tr w14:paraId="7AC36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09F0C903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Р2</w:t>
            </w:r>
          </w:p>
        </w:tc>
        <w:tc>
          <w:tcPr>
            <w:tcW w:w="4440" w:type="dxa"/>
          </w:tcPr>
          <w:p w14:paraId="6A68A056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расчёте больших чисел возможно переполнение</w:t>
            </w:r>
          </w:p>
        </w:tc>
        <w:tc>
          <w:tcPr>
            <w:tcW w:w="4342" w:type="dxa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2"/>
              </w:rPr>
              <w:t>Проверены decimal.MaxValue + 1 и × 2: остаётся ошибка. MaxValue + 0 выводится как ≈ 7,92282E+28 без переполнения.</w:t>
            </w:r>
          </w:p>
        </w:tc>
      </w:tr>
      <w:tr w14:paraId="1FB3F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02CDC818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Р3</w:t>
            </w:r>
          </w:p>
        </w:tc>
        <w:tc>
          <w:tcPr>
            <w:tcW w:w="4440" w:type="dxa"/>
          </w:tcPr>
          <w:p w14:paraId="49D96D89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После изменения ввода может остаться старый результат</w:t>
            </w:r>
          </w:p>
        </w:tc>
        <w:tc>
          <w:tcPr>
            <w:tcW w:w="4342" w:type="dxa"/>
          </w:tcPr>
          <w:p w14:paraId="44ADABCC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Выполнить расчёт, затем изменить число или операцию. Сброс прежнего ответа проверен автотестами.</w:t>
            </w:r>
          </w:p>
        </w:tc>
      </w:tr>
      <w:tr w14:paraId="4E52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52E2926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Р4</w:t>
            </w:r>
          </w:p>
        </w:tc>
        <w:tc>
          <w:tcPr>
            <w:tcW w:w="4440" w:type="dxa"/>
          </w:tcPr>
          <w:p w14:paraId="678CC1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При увеличении масштаба Windows текст или кнопки могут обрезаться</w:t>
            </w:r>
          </w:p>
        </w:tc>
        <w:tc>
          <w:tcPr>
            <w:tcW w:w="4342" w:type="dxa"/>
          </w:tcPr>
          <w:p w14:paraId="3D91AC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 xml:space="preserve">Открыть форму при масштабе 100% и 150%. Проверить поля, кнопки и сообщения об ошибках. Проверка не проведена.</w:t>
            </w:r>
          </w:p>
        </w:tc>
      </w:tr>
      <w:tr w14:paraId="4E525C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72" w:type="dxa"/>
          </w:tcPr>
          <w:p w14:paraId="52E2926E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Р5</w:t>
            </w:r>
          </w:p>
        </w:tc>
        <w:tc>
          <w:tcPr>
            <w:tcW w:w="4440" w:type="dxa"/>
          </w:tcPr>
          <w:p w14:paraId="678CC114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Округлённый ответ можно принять за полное точное значение</w:t>
            </w:r>
          </w:p>
        </w:tc>
        <w:tc>
          <w:tcPr>
            <w:tcW w:w="4342" w:type="dxa"/>
          </w:tcPr>
          <w:p w14:paraId="3D91AC4D">
            <w:pPr>
              <w:widowControl/>
              <w:spacing w:before="0" w:after="0" w:line="240" w:lineRule="auto"/>
              <w:ind w:firstLine="0"/>
              <w:jc w:val="left"/>
              <w:rPr>
                <w:kern w:val="0"/>
              </w:rPr>
            </w:pPr>
            <w:r>
              <w:rPr>
                <w:rFonts w:cs="Times New Roman" w:ascii="Times New Roman" w:hAnsi="Times New Roman"/>
                <w:b w:val="0"/>
                <w:i w:val="0"/>
                <w:kern w:val="0"/>
                <w:sz w:val="22"/>
                <w:lang w:val="ru-RU" w:eastAsia="ru-RU"/>
              </w:rPr>
              <w:t>Показывать знак ≈ и до 6 значащих цифр в E-записи. Проверены знак, порог, перенос разряда и культуры ru-RU / en-US. Арифметика остаётся decimal.</w:t>
            </w:r>
          </w:p>
        </w:tc>
      </w:tr>
    </w:tbl>
    <w:p w14:paraId="292D6F8C">
      <w:pPr>
        <w:spacing w:before="0" w:after="120" w:line="240" w:lineRule="auto"/>
        <w:ind w:firstLine="0"/>
      </w:pPr>
    </w:p>
    <w:sectPr>
      <w:footerReference r:id="rId5" w:type="default"/>
      <w:pgSz w:w="12240" w:h="15840"/>
      <w:pgMar w:top="1134" w:right="850" w:bottom="1134" w:left="1701" w:header="0" w:footer="72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黑体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libri">
    <w:panose1 w:val="020F0502020204030204"/>
    <w:charset w:val="01"/>
    <w:family w:val="roman"/>
    <w:pitch w:val="default"/>
    <w:sig w:usb0="E4002EFF" w:usb1="C000247B" w:usb2="00000009" w:usb3="00000000" w:csb0="200001FF" w:csb1="00000000"/>
  </w:font>
  <w:font w:name="Courier">
    <w:altName w:val="Courier New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黑体">
    <w:altName w:val="SimSu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7231">
    <w:pPr>
      <w:pStyle w:val="28"/>
      <w:spacing w:before="0" w:after="0"/>
      <w:ind w:firstLine="0"/>
      <w:jc w:val="center"/>
    </w:pPr>
    <w:r>
      <w:rPr>
        <w:rFonts w:cs="Times New Roman"/>
        <w:sz w:val="24"/>
        <w:lang w:val="ru-RU" w:eastAsia="ru-RU"/>
      </w:rPr>
      <w:fldChar w:fldCharType="begin"/>
    </w:r>
    <w:r>
      <w:rPr>
        <w:rFonts w:cs="Times New Roman"/>
        <w:sz w:val="24"/>
        <w:lang w:val="ru-RU" w:eastAsia="ru-RU"/>
      </w:rPr>
      <w:instrText xml:space="preserve"> PAGE </w:instrText>
    </w:r>
    <w:r>
      <w:rPr>
        <w:rFonts w:cs="Times New Roman"/>
        <w:sz w:val="24"/>
        <w:lang w:val="ru-RU" w:eastAsia="ru-RU"/>
      </w:rPr>
      <w:fldChar w:fldCharType="separate"/>
    </w:r>
    <w:r>
      <w:rPr>
        <w:rFonts w:cs="Times New Roman"/>
        <w:sz w:val="24"/>
        <w:lang w:val="ru-RU" w:eastAsia="ru-RU"/>
      </w:rPr>
      <w:t>0</w:t>
    </w:r>
    <w:r>
      <w:rPr>
        <w:rFonts w:cs="Times New Roman"/>
        <w:sz w:val="24"/>
        <w:lang w:val="ru-RU" w:eastAsia="ru-RU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multilevel"/>
    <w:tmpl w:val="B5E306ED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BF205925"/>
    <w:multiLevelType w:val="multilevel"/>
    <w:tmpl w:val="BF205925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2">
    <w:nsid w:val="CF092B84"/>
    <w:multiLevelType w:val="multilevel"/>
    <w:tmpl w:val="CF092B84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59ADCABA"/>
    <w:multiLevelType w:val="multilevel"/>
    <w:tmpl w:val="59ADCABA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08520C"/>
    <w:rsid w:val="77E96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120" w:line="240" w:lineRule="auto"/>
      <w:ind w:firstLine="709"/>
      <w:jc w:val="both"/>
    </w:pPr>
    <w:rPr>
      <w:rFonts w:ascii="Times New Roman" w:hAnsi="Times New Roman" w:cs="Times New Roman" w:eastAsiaTheme="minorEastAsia"/>
      <w:color w:val="auto"/>
      <w:kern w:val="0"/>
      <w:sz w:val="28"/>
      <w:szCs w:val="22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4061" w:themeColor="accent1" w:themeShade="80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paragraph" w:styleId="9">
    <w:name w:val="heading 8"/>
    <w:basedOn w:val="1"/>
    <w:next w:val="1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before="0"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before="0" w:after="120" w:line="480" w:lineRule="auto"/>
    </w:pPr>
  </w:style>
  <w:style w:type="paragraph" w:styleId="17">
    <w:name w:val="caption"/>
    <w:basedOn w:val="1"/>
    <w:qFormat/>
    <w:uiPriority w:val="0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1"/>
      </w:numPr>
      <w:spacing w:before="0" w:after="120"/>
      <w:contextualSpacing/>
    </w:pPr>
  </w:style>
  <w:style w:type="paragraph" w:styleId="19">
    <w:name w:val="header"/>
    <w:basedOn w:val="1"/>
    <w:link w:val="39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before="0" w:after="120"/>
    </w:pPr>
  </w:style>
  <w:style w:type="paragraph" w:styleId="21">
    <w:name w:val="index heading"/>
    <w:basedOn w:val="22"/>
    <w:uiPriority w:val="0"/>
  </w:style>
  <w:style w:type="paragraph" w:customStyle="1" w:styleId="22">
    <w:name w:val="Заголовок"/>
    <w:basedOn w:val="1"/>
    <w:next w:val="20"/>
    <w:qFormat/>
    <w:uiPriority w:val="0"/>
    <w:pPr>
      <w:keepNext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23">
    <w:name w:val="macro"/>
    <w:link w:val="49"/>
    <w:unhideWhenUsed/>
    <w:qFormat/>
    <w:uiPriority w:val="99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  <w:jc w:val="left"/>
    </w:pPr>
    <w:rPr>
      <w:rFonts w:ascii="Courier" w:hAnsi="Courier" w:eastAsiaTheme="minorEastAsia" w:cstheme="minorBidi"/>
      <w:color w:val="auto"/>
      <w:kern w:val="0"/>
      <w:sz w:val="20"/>
      <w:szCs w:val="20"/>
      <w:lang w:val="en-US" w:eastAsia="en-US" w:bidi="ar-SA"/>
    </w:rPr>
  </w:style>
  <w:style w:type="paragraph" w:styleId="24">
    <w:name w:val="List Bullet"/>
    <w:basedOn w:val="1"/>
    <w:unhideWhenUsed/>
    <w:uiPriority w:val="99"/>
    <w:pPr>
      <w:numPr>
        <w:ilvl w:val="0"/>
        <w:numId w:val="2"/>
      </w:numPr>
      <w:spacing w:before="0" w:after="120"/>
      <w:contextualSpacing/>
    </w:pPr>
  </w:style>
  <w:style w:type="paragraph" w:styleId="25">
    <w:name w:val="List Bullet 2"/>
    <w:basedOn w:val="1"/>
    <w:unhideWhenUsed/>
    <w:uiPriority w:val="99"/>
    <w:pPr>
      <w:numPr>
        <w:ilvl w:val="0"/>
        <w:numId w:val="3"/>
      </w:numPr>
      <w:spacing w:before="0" w:after="120"/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4"/>
      </w:numPr>
      <w:spacing w:before="0" w:after="120"/>
      <w:contextualSpacing/>
    </w:pPr>
  </w:style>
  <w:style w:type="paragraph" w:styleId="27">
    <w:name w:val="Title"/>
    <w:basedOn w:val="1"/>
    <w:next w:val="1"/>
    <w:link w:val="44"/>
    <w:qFormat/>
    <w:uiPriority w:val="10"/>
    <w:pPr>
      <w:pBdr>
        <w:bottom w:val="single" w:color="4F81BD" w:themeColor="accent1" w:sz="8" w:space="4"/>
      </w:pBdr>
      <w:spacing w:before="0"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paragraph" w:styleId="28">
    <w:name w:val="foot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before="0" w:after="0" w:line="240" w:lineRule="auto"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5"/>
      </w:numPr>
      <w:spacing w:before="0" w:after="120"/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6"/>
      </w:numPr>
      <w:spacing w:before="0" w:after="120"/>
      <w:contextualSpacing/>
    </w:pPr>
  </w:style>
  <w:style w:type="paragraph" w:styleId="31">
    <w:name w:val="List"/>
    <w:basedOn w:val="1"/>
    <w:unhideWhenUsed/>
    <w:qFormat/>
    <w:uiPriority w:val="99"/>
    <w:pPr>
      <w:spacing w:before="0" w:after="120"/>
      <w:ind w:left="360" w:hanging="360"/>
      <w:contextualSpacing/>
    </w:pPr>
  </w:style>
  <w:style w:type="paragraph" w:styleId="32">
    <w:name w:val="Body Text 3"/>
    <w:basedOn w:val="1"/>
    <w:link w:val="48"/>
    <w:unhideWhenUsed/>
    <w:qFormat/>
    <w:uiPriority w:val="99"/>
    <w:pPr>
      <w:spacing w:before="0" w:after="120"/>
    </w:pPr>
    <w:rPr>
      <w:sz w:val="16"/>
      <w:szCs w:val="16"/>
    </w:rPr>
  </w:style>
  <w:style w:type="paragraph" w:styleId="33">
    <w:name w:val="Subtitle"/>
    <w:basedOn w:val="1"/>
    <w:next w:val="1"/>
    <w:link w:val="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34">
    <w:name w:val="List Continue 2"/>
    <w:basedOn w:val="1"/>
    <w:unhideWhenUsed/>
    <w:qFormat/>
    <w:uiPriority w:val="99"/>
    <w:pPr>
      <w:spacing w:before="0" w:after="120"/>
      <w:ind w:left="720"/>
      <w:contextualSpacing/>
    </w:pPr>
  </w:style>
  <w:style w:type="paragraph" w:styleId="35">
    <w:name w:val="List Continue 3"/>
    <w:basedOn w:val="1"/>
    <w:unhideWhenUsed/>
    <w:qFormat/>
    <w:uiPriority w:val="99"/>
    <w:pPr>
      <w:spacing w:before="0" w:after="120"/>
      <w:ind w:left="1080"/>
      <w:contextualSpacing/>
    </w:pPr>
  </w:style>
  <w:style w:type="paragraph" w:styleId="36">
    <w:name w:val="List 2"/>
    <w:basedOn w:val="1"/>
    <w:unhideWhenUsed/>
    <w:qFormat/>
    <w:uiPriority w:val="99"/>
    <w:pPr>
      <w:spacing w:before="0" w:after="120"/>
      <w:ind w:left="720" w:hanging="360"/>
      <w:contextualSpacing/>
    </w:pPr>
  </w:style>
  <w:style w:type="paragraph" w:styleId="37">
    <w:name w:val="List 3"/>
    <w:basedOn w:val="1"/>
    <w:unhideWhenUsed/>
    <w:qFormat/>
    <w:uiPriority w:val="99"/>
    <w:pPr>
      <w:spacing w:before="0" w:after="120"/>
      <w:ind w:left="1080" w:hanging="360"/>
      <w:contextualSpacing/>
    </w:pPr>
  </w:style>
  <w:style w:type="table" w:styleId="38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9">
    <w:name w:val="Header Char"/>
    <w:basedOn w:val="11"/>
    <w:link w:val="19"/>
    <w:qFormat/>
    <w:uiPriority w:val="99"/>
  </w:style>
  <w:style w:type="character" w:customStyle="1" w:styleId="40">
    <w:name w:val="Footer Char"/>
    <w:basedOn w:val="11"/>
    <w:link w:val="28"/>
    <w:qFormat/>
    <w:uiPriority w:val="99"/>
  </w:style>
  <w:style w:type="character" w:customStyle="1" w:styleId="41">
    <w:name w:val="Heading 1 Char"/>
    <w:basedOn w:val="11"/>
    <w:qFormat/>
    <w:uiPriority w:val="9"/>
    <w:rPr>
      <w:rFonts w:asciiTheme="majorHAnsi" w:hAnsiTheme="majorHAnsi" w:eastAsiaTheme="majorEastAsia" w:cstheme="majorBidi"/>
      <w:b/>
      <w:bCs/>
      <w:color w:val="366091" w:themeColor="accent1" w:themeShade="BF"/>
      <w:sz w:val="28"/>
      <w:szCs w:val="28"/>
    </w:rPr>
  </w:style>
  <w:style w:type="character" w:customStyle="1" w:styleId="42">
    <w:name w:val="Heading 2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customStyle="1" w:styleId="43">
    <w:name w:val="Heading 3 Char"/>
    <w:basedOn w:val="11"/>
    <w:qFormat/>
    <w:uiPriority w:val="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customStyle="1" w:styleId="44">
    <w:name w:val="Title Char"/>
    <w:basedOn w:val="11"/>
    <w:link w:val="27"/>
    <w:qFormat/>
    <w:uiPriority w:val="10"/>
    <w:rPr>
      <w:rFonts w:asciiTheme="majorHAnsi" w:hAnsiTheme="majorHAnsi" w:eastAsiaTheme="majorEastAsia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45">
    <w:name w:val="Subtitle Char"/>
    <w:basedOn w:val="11"/>
    <w:link w:val="3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2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3"/>
    <w:qFormat/>
    <w:uiPriority w:val="99"/>
    <w:rPr>
      <w:rFonts w:ascii="Courier" w:hAnsi="Courier"/>
      <w:sz w:val="20"/>
      <w:szCs w:val="20"/>
    </w:rPr>
  </w:style>
  <w:style w:type="character" w:customStyle="1" w:styleId="50">
    <w:name w:val="Quote Char"/>
    <w:basedOn w:val="11"/>
    <w:link w:val="51"/>
    <w:qFormat/>
    <w:uiPriority w:val="29"/>
    <w:rPr>
      <w:i/>
      <w:iCs/>
      <w:color w:val="000000" w:themeColor="text1"/>
    </w:rPr>
  </w:style>
  <w:style w:type="paragraph" w:styleId="51">
    <w:name w:val="Quote"/>
    <w:basedOn w:val="1"/>
    <w:next w:val="1"/>
    <w:link w:val="50"/>
    <w:qFormat/>
    <w:uiPriority w:val="29"/>
    <w:rPr>
      <w:i/>
      <w:iCs/>
      <w:color w:val="000000" w:themeColor="text1"/>
    </w:rPr>
  </w:style>
  <w:style w:type="character" w:customStyle="1" w:styleId="52">
    <w:name w:val="Heading 4 Char"/>
    <w:basedOn w:val="11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customStyle="1" w:styleId="53">
    <w:name w:val="Heading 5 Char"/>
    <w:basedOn w:val="11"/>
    <w:semiHidden/>
    <w:qFormat/>
    <w:uiPriority w:val="9"/>
    <w:rPr>
      <w:rFonts w:asciiTheme="majorHAnsi" w:hAnsiTheme="majorHAnsi" w:eastAsiaTheme="majorEastAsia" w:cstheme="majorBidi"/>
      <w:color w:val="244061" w:themeColor="accent1" w:themeShade="80"/>
    </w:rPr>
  </w:style>
  <w:style w:type="character" w:customStyle="1" w:styleId="54">
    <w:name w:val="Heading 6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244061" w:themeColor="accent1" w:themeShade="80"/>
    </w:rPr>
  </w:style>
  <w:style w:type="character" w:customStyle="1" w:styleId="55">
    <w:name w:val="Heading 7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</w:rPr>
  </w:style>
  <w:style w:type="character" w:customStyle="1" w:styleId="56">
    <w:name w:val="Heading 8 Char"/>
    <w:basedOn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customStyle="1" w:styleId="57">
    <w:name w:val="Heading 9 Char"/>
    <w:basedOn w:val="11"/>
    <w:semiHidden/>
    <w:qFormat/>
    <w:uiPriority w:val="9"/>
    <w:rPr>
      <w:rFonts w:asciiTheme="majorHAnsi" w:hAnsiTheme="majorHAnsi" w:eastAsiaTheme="majorEastAsia" w:cstheme="majorBidi"/>
      <w:i/>
      <w:iCs/>
      <w:color w:val="3F3F3F" w:themeColor="text1" w:themeTint="BF"/>
      <w:sz w:val="20"/>
      <w:szCs w:val="20"/>
    </w:rPr>
  </w:style>
  <w:style w:type="character" w:customStyle="1" w:styleId="58">
    <w:name w:val="Intense Quote Char"/>
    <w:basedOn w:val="11"/>
    <w:link w:val="59"/>
    <w:qFormat/>
    <w:uiPriority w:val="30"/>
    <w:rPr>
      <w:b/>
      <w:bCs/>
      <w:i/>
      <w:iCs/>
      <w:color w:val="4F81BD" w:themeColor="accent1"/>
    </w:rPr>
  </w:style>
  <w:style w:type="paragraph" w:styleId="59">
    <w:name w:val="Intense Quote"/>
    <w:basedOn w:val="1"/>
    <w:next w:val="1"/>
    <w:link w:val="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60">
    <w:name w:val="Subtle Emphasis"/>
    <w:basedOn w:val="11"/>
    <w:qFormat/>
    <w:uiPriority w:val="19"/>
    <w:rPr>
      <w:i/>
      <w:iCs/>
      <w:color w:val="7E7E7E" w:themeColor="text1" w:themeTint="80"/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Указатель1"/>
    <w:basedOn w:val="1"/>
    <w:qFormat/>
    <w:uiPriority w:val="0"/>
    <w:pPr>
      <w:suppressLineNumbers/>
    </w:pPr>
    <w:rPr>
      <w:rFonts w:cs="Lucida Sans"/>
    </w:rPr>
  </w:style>
  <w:style w:type="paragraph" w:customStyle="1" w:styleId="66">
    <w:name w:val="caption1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67">
    <w:name w:val="Колонтитул"/>
    <w:basedOn w:val="1"/>
    <w:qFormat/>
    <w:uiPriority w:val="0"/>
  </w:style>
  <w:style w:type="paragraph" w:styleId="68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Theme="minorHAnsi" w:hAnsiTheme="minorHAnsi" w:eastAsiaTheme="minorEastAsia" w:cstheme="minorBidi"/>
      <w:color w:val="auto"/>
      <w:kern w:val="0"/>
      <w:sz w:val="22"/>
      <w:szCs w:val="22"/>
      <w:lang w:val="en-US" w:eastAsia="en-US" w:bidi="ar-SA"/>
    </w:rPr>
  </w:style>
  <w:style w:type="paragraph" w:styleId="69">
    <w:name w:val="List Paragraph"/>
    <w:basedOn w:val="1"/>
    <w:qFormat/>
    <w:uiPriority w:val="34"/>
    <w:pPr>
      <w:spacing w:before="0" w:after="120"/>
      <w:ind w:left="720"/>
      <w:contextualSpacing/>
    </w:pPr>
  </w:style>
  <w:style w:type="paragraph" w:customStyle="1" w:styleId="70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71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72">
    <w:name w:val="Light Shading Accent 1"/>
    <w:basedOn w:val="12"/>
    <w:qFormat/>
    <w:uiPriority w:val="60"/>
    <w:pPr>
      <w:spacing w:after="0" w:line="240" w:lineRule="auto"/>
    </w:pPr>
    <w:rPr>
      <w:color w:val="366091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3">
    <w:name w:val="Light Shading Accent 2"/>
    <w:basedOn w:val="12"/>
    <w:qFormat/>
    <w:uiPriority w:val="60"/>
    <w:pPr>
      <w:spacing w:after="0" w:line="240" w:lineRule="auto"/>
    </w:pPr>
    <w:rPr>
      <w:color w:val="943734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4">
    <w:name w:val="Light Shading Accent 3"/>
    <w:basedOn w:val="12"/>
    <w:qFormat/>
    <w:uiPriority w:val="60"/>
    <w:pPr>
      <w:spacing w:after="0" w:line="240" w:lineRule="auto"/>
    </w:pPr>
    <w:rPr>
      <w:color w:val="7692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5">
    <w:name w:val="Light Shading Accent 4"/>
    <w:basedOn w:val="12"/>
    <w:qFormat/>
    <w:uiPriority w:val="60"/>
    <w:pPr>
      <w:spacing w:after="0" w:line="240" w:lineRule="auto"/>
    </w:pPr>
    <w:rPr>
      <w:color w:val="5F497A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6">
    <w:name w:val="Light Shading Accent 5"/>
    <w:basedOn w:val="12"/>
    <w:qFormat/>
    <w:uiPriority w:val="60"/>
    <w:pPr>
      <w:spacing w:after="0" w:line="240" w:lineRule="auto"/>
    </w:pPr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7">
    <w:name w:val="Light Shading Accent 6"/>
    <w:basedOn w:val="12"/>
    <w:qFormat/>
    <w:uiPriority w:val="60"/>
    <w:pPr>
      <w:spacing w:after="0" w:line="240" w:lineRule="auto"/>
    </w:pPr>
    <w:rPr>
      <w:color w:val="E36C09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8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9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80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81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82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3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4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5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6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7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8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9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90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91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92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7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8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9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4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5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6">
    <w:name w:val="Medium Lis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7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8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9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10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11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12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3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8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9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20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000000" w:themeColor="tex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21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F81BD" w:themeColor="accent1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22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0504D" w:themeColor="accent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3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BBB59" w:themeColor="accent3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4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8064A2" w:themeColor="accent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5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4BACC6" w:themeColor="accent5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6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79646" w:themeColor="accent6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7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2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3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4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5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6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7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8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9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40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color w:val="FFFFFF" w:themeColor="background1"/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41">
    <w:name w:val="Dark List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42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3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4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5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6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7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8">
    <w:name w:val="Colorful Shading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49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0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1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52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3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4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55">
    <w:name w:val="Colorful List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6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7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8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9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60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61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62">
    <w:name w:val="Colorful Grid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3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4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5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6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7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8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1065</Words>
  <Characters>7117</Characters>
  <Paragraphs>258</Paragraphs>
  <TotalTime>94</TotalTime>
  <ScaleCrop>false</ScaleCrop>
  <LinksUpToDate>false</LinksUpToDate>
  <CharactersWithSpaces>7925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Никита</cp:lastModifiedBy>
  <dcterms:modified xsi:type="dcterms:W3CDTF">2026-09-15T12:57:29Z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0D4B223D7077430D8AB0568E1F47DFA4_12</vt:lpwstr>
  </property>
  <property fmtid="{D5CDD505-2E9C-101B-9397-08002B2CF9AE}" pid="3" name="KSOProductBuildVer">
    <vt:lpwstr>1049-12.1.0.28485</vt:lpwstr>
  </property>
  <property fmtid="{D5CDD505-2E9C-101B-9397-08002B2CF9AE}" pid="4" name="KSOTemplateDocerSaveRecord">
    <vt:lpwstr>eyJoZGlkIjoiZmI0M2Q0MWI4YzQ0ZGUwY2Q0MDc3NmM3YTg0NjFkZGQifQ==</vt:lpwstr>
  </property>
</Properties>
</file>