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Pr>
      <w:r>
        <w:rPr>
          <w:rFonts w:ascii="Traditional Arabic" w:hAnsi="Traditional Arabic" w:cs="Traditional Arabic" w:eastAsia="Traditional Arabic"/>
          <w:b/>
          <w:color w:val="1F3A5F"/>
          <w:sz w:val="40"/>
          <w:rtl w:val="1"/>
        </w:rPr>
        <w:t>الأوراق التجارية: أقسامها وأنواعها وخصائصها</w:t>
      </w:r>
    </w:p>
    <w:p>
      <w:pPr>
        <w:spacing w:before="120" w:after="80" w:line="288" w:lineRule="auto"/>
        <w:jc w:val="right"/>
        <w:bidi w:val="1"/>
      </w:pPr>
      <w:r>
        <w:rPr>
          <w:rFonts w:ascii="Traditional Arabic" w:hAnsi="Traditional Arabic" w:cs="Traditional Arabic" w:eastAsia="Traditional Arabic"/>
          <w:b/>
          <w:color w:val="1F3A5F"/>
          <w:sz w:val="32"/>
          <w:rtl w:val="1"/>
        </w:rPr>
        <w:t>أولاً: تعريف الأوراق التجارية</w:t>
      </w:r>
    </w:p>
    <w:p>
      <w:pPr>
        <w:spacing w:before="0" w:after="80" w:line="288" w:lineRule="auto"/>
        <w:jc w:val="both"/>
        <w:bidi w:val="1"/>
      </w:pPr>
      <w:r>
        <w:rPr>
          <w:rFonts w:ascii="Traditional Arabic" w:hAnsi="Traditional Arabic" w:cs="Traditional Arabic" w:eastAsia="Traditional Arabic"/>
          <w:b w:val="0"/>
          <w:sz w:val="28"/>
          <w:rtl w:val="1"/>
        </w:rPr>
        <w:t>الأوراق التجارية هي صكوك مكتوبة وفق أوضاع شكلية حدّدها القانون، تتضمّن التزاماً بدفع مبلغ معيّن من النقود مستحقّ الأداء بمجرد الاطّلاع أو في أجل قصير، وتقبل التداول بالطرق التجارية كالتظهير والمناولة، وقد جرى العرف على قبولها أداةً للوفاء تقوم مقام النقود في المعاملات التجارية. وتُعدّ من أهمّ الأدوات التي ابتكرها التجّار لتسهيل تداول الأموال وتمويل الأنشطة الاقتصادية، حيث تجمع بين وظيفتي الوفاء والائتمان.</w:t>
      </w:r>
    </w:p>
    <w:p>
      <w:pPr>
        <w:spacing w:before="120" w:after="80" w:line="288" w:lineRule="auto"/>
        <w:jc w:val="right"/>
        <w:bidi w:val="1"/>
      </w:pPr>
      <w:r>
        <w:rPr>
          <w:rFonts w:ascii="Traditional Arabic" w:hAnsi="Traditional Arabic" w:cs="Traditional Arabic" w:eastAsia="Traditional Arabic"/>
          <w:b/>
          <w:color w:val="1F3A5F"/>
          <w:sz w:val="32"/>
          <w:rtl w:val="1"/>
        </w:rPr>
        <w:t>ثانياً: خصائص الأوراق التجارية</w:t>
      </w:r>
    </w:p>
    <w:p>
      <w:pPr>
        <w:pStyle w:val="ListBullet"/>
        <w:spacing w:after="40" w:line="288" w:lineRule="auto"/>
        <w:jc w:val="both"/>
        <w:bidi w:val="1"/>
      </w:pPr>
      <w:r>
        <w:rPr>
          <w:rFonts w:ascii="Traditional Arabic" w:hAnsi="Traditional Arabic" w:cs="Traditional Arabic" w:eastAsia="Traditional Arabic"/>
          <w:b w:val="0"/>
          <w:sz w:val="26"/>
          <w:rtl w:val="1"/>
        </w:rPr>
        <w:t>صكّ مكتوب وفق شروط شكلية صارمة نصّ عليها القانون، ويترتّب على تخلّفها فقدان الورقة صفتها التجارية.</w:t>
      </w:r>
    </w:p>
    <w:p>
      <w:pPr>
        <w:pStyle w:val="ListBullet"/>
        <w:spacing w:after="40" w:line="288" w:lineRule="auto"/>
        <w:jc w:val="both"/>
        <w:bidi w:val="1"/>
      </w:pPr>
      <w:r>
        <w:rPr>
          <w:rFonts w:ascii="Traditional Arabic" w:hAnsi="Traditional Arabic" w:cs="Traditional Arabic" w:eastAsia="Traditional Arabic"/>
          <w:b w:val="0"/>
          <w:sz w:val="26"/>
          <w:rtl w:val="1"/>
        </w:rPr>
        <w:t>تمثّل حقاً نقدياً، إذ يجب أن يكون محلّ الالتزام مبلغاً من النقود معيّن المقدار، فلا تصحّ على بضائع أو منقولات.</w:t>
      </w:r>
    </w:p>
    <w:p>
      <w:pPr>
        <w:pStyle w:val="ListBullet"/>
        <w:spacing w:after="40" w:line="288" w:lineRule="auto"/>
        <w:jc w:val="both"/>
        <w:bidi w:val="1"/>
      </w:pPr>
      <w:r>
        <w:rPr>
          <w:rFonts w:ascii="Traditional Arabic" w:hAnsi="Traditional Arabic" w:cs="Traditional Arabic" w:eastAsia="Traditional Arabic"/>
          <w:b w:val="0"/>
          <w:sz w:val="26"/>
          <w:rtl w:val="1"/>
        </w:rPr>
        <w:t>قصر أجل الاستحقاق، فهي مستحقّة الأداء بمجرد الاطّلاع أو بعد أجل قصير محدّد.</w:t>
      </w:r>
    </w:p>
    <w:p>
      <w:pPr>
        <w:pStyle w:val="ListBullet"/>
        <w:spacing w:after="40" w:line="288" w:lineRule="auto"/>
        <w:jc w:val="both"/>
        <w:bidi w:val="1"/>
      </w:pPr>
      <w:r>
        <w:rPr>
          <w:rFonts w:ascii="Traditional Arabic" w:hAnsi="Traditional Arabic" w:cs="Traditional Arabic" w:eastAsia="Traditional Arabic"/>
          <w:b w:val="0"/>
          <w:sz w:val="26"/>
          <w:rtl w:val="1"/>
        </w:rPr>
        <w:t>قابليتها للتداول بالطرق التجارية عن طريق التظهير إذا كانت إذنية، أو بالمناولة إذا كانت لحاملها.</w:t>
      </w:r>
    </w:p>
    <w:p>
      <w:pPr>
        <w:pStyle w:val="ListBullet"/>
        <w:spacing w:after="40" w:line="288" w:lineRule="auto"/>
        <w:jc w:val="both"/>
        <w:bidi w:val="1"/>
      </w:pPr>
      <w:r>
        <w:rPr>
          <w:rFonts w:ascii="Traditional Arabic" w:hAnsi="Traditional Arabic" w:cs="Traditional Arabic" w:eastAsia="Traditional Arabic"/>
          <w:b w:val="0"/>
          <w:sz w:val="26"/>
          <w:rtl w:val="1"/>
        </w:rPr>
        <w:t>قيامها مقام النقود في الوفاء، فهي أداة وفاء وأداة ائتمان في الوقت ذاته.</w:t>
      </w:r>
    </w:p>
    <w:p>
      <w:pPr>
        <w:pStyle w:val="ListBullet"/>
        <w:spacing w:after="40" w:line="288" w:lineRule="auto"/>
        <w:jc w:val="both"/>
        <w:bidi w:val="1"/>
      </w:pPr>
      <w:r>
        <w:rPr>
          <w:rFonts w:ascii="Traditional Arabic" w:hAnsi="Traditional Arabic" w:cs="Traditional Arabic" w:eastAsia="Traditional Arabic"/>
          <w:b w:val="0"/>
          <w:sz w:val="26"/>
          <w:rtl w:val="1"/>
        </w:rPr>
        <w:t>الكفاية الذاتية، بمعنى أن الحقّ الثابت فيها مستقلّ عن العلاقة الأصلية التي نشأ عنها.</w:t>
      </w:r>
    </w:p>
    <w:p>
      <w:pPr>
        <w:pStyle w:val="ListBullet"/>
        <w:spacing w:after="40" w:line="288" w:lineRule="auto"/>
        <w:jc w:val="both"/>
        <w:bidi w:val="1"/>
      </w:pPr>
      <w:r>
        <w:rPr>
          <w:rFonts w:ascii="Traditional Arabic" w:hAnsi="Traditional Arabic" w:cs="Traditional Arabic" w:eastAsia="Traditional Arabic"/>
          <w:b w:val="0"/>
          <w:sz w:val="26"/>
          <w:rtl w:val="1"/>
        </w:rPr>
        <w:t>تضامن الموقّعين عليها في الوفاء بقيمتها، فكلّ موقّع ضامن لوفائها تجاه الحامل حسن النيّة.</w:t>
      </w:r>
    </w:p>
    <w:p>
      <w:pPr>
        <w:pStyle w:val="ListBullet"/>
        <w:spacing w:after="40" w:line="288" w:lineRule="auto"/>
        <w:jc w:val="both"/>
        <w:bidi w:val="1"/>
      </w:pPr>
      <w:r>
        <w:rPr>
          <w:rFonts w:ascii="Traditional Arabic" w:hAnsi="Traditional Arabic" w:cs="Traditional Arabic" w:eastAsia="Traditional Arabic"/>
          <w:b w:val="0"/>
          <w:sz w:val="26"/>
          <w:rtl w:val="1"/>
        </w:rPr>
        <w:t>خضوعها لقواعد قانونية خاصة من قانون التجارة تختلف عن قواعد القانون المدني.</w:t>
      </w:r>
    </w:p>
    <w:p>
      <w:pPr>
        <w:spacing w:before="120" w:after="80" w:line="288" w:lineRule="auto"/>
        <w:jc w:val="right"/>
        <w:bidi w:val="1"/>
      </w:pPr>
      <w:r>
        <w:rPr>
          <w:rFonts w:ascii="Traditional Arabic" w:hAnsi="Traditional Arabic" w:cs="Traditional Arabic" w:eastAsia="Traditional Arabic"/>
          <w:b/>
          <w:color w:val="1F3A5F"/>
          <w:sz w:val="32"/>
          <w:rtl w:val="1"/>
        </w:rPr>
        <w:t>ثالثاً: أقسام الأوراق التجارية</w:t>
      </w:r>
    </w:p>
    <w:p>
      <w:pPr>
        <w:spacing w:before="0" w:after="80" w:line="288" w:lineRule="auto"/>
        <w:jc w:val="both"/>
        <w:bidi w:val="1"/>
      </w:pPr>
      <w:r>
        <w:rPr>
          <w:rFonts w:ascii="Traditional Arabic" w:hAnsi="Traditional Arabic" w:cs="Traditional Arabic" w:eastAsia="Traditional Arabic"/>
          <w:b w:val="0"/>
          <w:sz w:val="28"/>
          <w:rtl w:val="1"/>
        </w:rPr>
        <w:t>تنقسم الأوراق التجارية وفقاً لمعايير عدّة، أبرزها:</w:t>
      </w:r>
    </w:p>
    <w:p>
      <w:pPr>
        <w:pStyle w:val="ListBullet"/>
        <w:spacing w:after="40" w:line="288" w:lineRule="auto"/>
        <w:jc w:val="both"/>
        <w:bidi w:val="1"/>
      </w:pPr>
      <w:r>
        <w:rPr>
          <w:rFonts w:ascii="Traditional Arabic" w:hAnsi="Traditional Arabic" w:cs="Traditional Arabic" w:eastAsia="Traditional Arabic"/>
          <w:b w:val="0"/>
          <w:sz w:val="26"/>
          <w:rtl w:val="1"/>
        </w:rPr>
        <w:t>من حيث الوظيفة: أوراق ائتمان كالكمبيالة والسند لأمر، وأوراق وفاء كالشيك.</w:t>
      </w:r>
    </w:p>
    <w:p>
      <w:pPr>
        <w:pStyle w:val="ListBullet"/>
        <w:spacing w:after="40" w:line="288" w:lineRule="auto"/>
        <w:jc w:val="both"/>
        <w:bidi w:val="1"/>
      </w:pPr>
      <w:r>
        <w:rPr>
          <w:rFonts w:ascii="Traditional Arabic" w:hAnsi="Traditional Arabic" w:cs="Traditional Arabic" w:eastAsia="Traditional Arabic"/>
          <w:b w:val="0"/>
          <w:sz w:val="26"/>
          <w:rtl w:val="1"/>
        </w:rPr>
        <w:t>من حيث عدد الأطراف: أوراق ثلاثية الأطراف (الكمبيالة والشيك)، وأوراق ثنائية الأطراف (السند لأمر).</w:t>
      </w:r>
    </w:p>
    <w:p>
      <w:pPr>
        <w:pStyle w:val="ListBullet"/>
        <w:spacing w:after="40" w:line="288" w:lineRule="auto"/>
        <w:jc w:val="both"/>
        <w:bidi w:val="1"/>
      </w:pPr>
      <w:r>
        <w:rPr>
          <w:rFonts w:ascii="Traditional Arabic" w:hAnsi="Traditional Arabic" w:cs="Traditional Arabic" w:eastAsia="Traditional Arabic"/>
          <w:b w:val="0"/>
          <w:sz w:val="26"/>
          <w:rtl w:val="1"/>
        </w:rPr>
        <w:t>من حيث شكل التداول: أوراق إذنية تُحرَّر لأمر شخص معيّن وتتداول بالتظهير، وأوراق لحاملها تتداول بالمناولة اليدوية.</w:t>
      </w:r>
    </w:p>
    <w:p>
      <w:pPr>
        <w:pStyle w:val="ListBullet"/>
        <w:spacing w:after="40" w:line="288" w:lineRule="auto"/>
        <w:jc w:val="both"/>
        <w:bidi w:val="1"/>
      </w:pPr>
      <w:r>
        <w:rPr>
          <w:rFonts w:ascii="Traditional Arabic" w:hAnsi="Traditional Arabic" w:cs="Traditional Arabic" w:eastAsia="Traditional Arabic"/>
          <w:b w:val="0"/>
          <w:sz w:val="26"/>
          <w:rtl w:val="1"/>
        </w:rPr>
        <w:t>من حيث الجهة المسحوب عليها: أوراق مسحوبة على البنوك حصراً (الشيك)، وأوراق يمكن سحبها على أيّ شخص (الكمبيالة).</w:t>
      </w:r>
    </w:p>
    <w:p>
      <w:pPr>
        <w:spacing w:before="120" w:after="80" w:line="288" w:lineRule="auto"/>
        <w:jc w:val="right"/>
        <w:bidi w:val="1"/>
      </w:pPr>
      <w:r>
        <w:rPr>
          <w:rFonts w:ascii="Traditional Arabic" w:hAnsi="Traditional Arabic" w:cs="Traditional Arabic" w:eastAsia="Traditional Arabic"/>
          <w:b/>
          <w:color w:val="1F3A5F"/>
          <w:sz w:val="32"/>
          <w:rtl w:val="1"/>
        </w:rPr>
        <w:t>رابعاً: أنواع الأوراق التجارية</w:t>
      </w:r>
    </w:p>
    <w:p>
      <w:pPr>
        <w:spacing w:before="120" w:after="80" w:line="288" w:lineRule="auto"/>
        <w:jc w:val="right"/>
        <w:bidi w:val="1"/>
      </w:pPr>
      <w:r>
        <w:rPr>
          <w:rFonts w:ascii="Traditional Arabic" w:hAnsi="Traditional Arabic" w:cs="Traditional Arabic" w:eastAsia="Traditional Arabic"/>
          <w:b/>
          <w:color w:val="2E5B8A"/>
          <w:sz w:val="28"/>
          <w:rtl w:val="1"/>
        </w:rPr>
        <w:t>1) الكمبيالة (السفتجة)</w:t>
      </w:r>
    </w:p>
    <w:p>
      <w:pPr>
        <w:spacing w:before="0" w:after="80" w:line="288" w:lineRule="auto"/>
        <w:jc w:val="both"/>
        <w:bidi w:val="1"/>
      </w:pPr>
      <w:r>
        <w:rPr>
          <w:rFonts w:ascii="Traditional Arabic" w:hAnsi="Traditional Arabic" w:cs="Traditional Arabic" w:eastAsia="Traditional Arabic"/>
          <w:b w:val="0"/>
          <w:sz w:val="28"/>
          <w:rtl w:val="1"/>
        </w:rPr>
        <w:t>محرَّر مكتوب وفق شكل حدّده القانون، يتضمّن أمراً صادراً من شخص يُسمّى «الساحب» إلى شخص آخر يُسمّى «المسحوب عليه» بأن يدفع لشخص ثالث يُسمّى «المستفيد» أو لأمره أو لحامله مبلغاً معيّناً من النقود بمجرّد الاطّلاع أو في أجل معيّن أو قابل للتعيين. وتقوم الكمبيالة بوظيفة مزدوجة، فهي أداة ائتمان لأنها تمنح الساحب أجلاً للوفاء، وأداة وفاء لأنها تنتقل من يد إلى يد بالتظهير. ومن أبرز بياناتها الإلزامية: لفظ «كمبيالة» مكتوباً في متن الصكّ، أمر غير معلّق على شرط بدفع مبلغ معيّن، اسم المسحوب عليه، تاريخ الاستحقاق، مكان الوفاء، اسم المستفيد، تاريخ ومكان الإنشاء، وتوقيع الساحب.</w:t>
      </w:r>
    </w:p>
    <w:p>
      <w:pPr>
        <w:spacing w:before="120" w:after="80" w:line="288" w:lineRule="auto"/>
        <w:jc w:val="right"/>
        <w:bidi w:val="1"/>
      </w:pPr>
      <w:r>
        <w:rPr>
          <w:rFonts w:ascii="Traditional Arabic" w:hAnsi="Traditional Arabic" w:cs="Traditional Arabic" w:eastAsia="Traditional Arabic"/>
          <w:b/>
          <w:color w:val="2E5B8A"/>
          <w:sz w:val="28"/>
          <w:rtl w:val="1"/>
        </w:rPr>
        <w:t>2) السند الإذني (السند لأمر)</w:t>
      </w:r>
    </w:p>
    <w:p>
      <w:pPr>
        <w:spacing w:before="0" w:after="80" w:line="288" w:lineRule="auto"/>
        <w:jc w:val="both"/>
        <w:bidi w:val="1"/>
      </w:pPr>
      <w:r>
        <w:rPr>
          <w:rFonts w:ascii="Traditional Arabic" w:hAnsi="Traditional Arabic" w:cs="Traditional Arabic" w:eastAsia="Traditional Arabic"/>
          <w:b w:val="0"/>
          <w:sz w:val="28"/>
          <w:rtl w:val="1"/>
        </w:rPr>
        <w:t>محرَّر مكتوب وفق شكل حدّده القانون، يتضمّن تعهّداً من شخص يُسمّى «المحرِّر» بأن يدفع لشخص آخر يُسمّى «المستفيد» أو لأمره مبلغاً معيّناً من النقود بمجرّد الاطّلاع أو في أجل معيّن. ويختلف عن الكمبيالة في أنه ثنائي الأطراف لا ثلاثي، وأنه يتضمّن تعهّداً بالدفع لا أمراً به. ومن بياناته الإلزامية: شرط الأمر أو عبارة «سند لأمر» في متن الصكّ، تعهّد بات غير معلّق على شرط بدفع مبلغ معيّن، تاريخ الاستحقاق، مكان الوفاء، اسم المستفيد، تاريخ ومكان الإنشاء، وتوقيع المحرِّر. ويستخدم في الغالب أداةَ ائتمان في معاملات البيع بالأجل والقروض.</w:t>
      </w:r>
    </w:p>
    <w:p>
      <w:pPr>
        <w:spacing w:before="120" w:after="80" w:line="288" w:lineRule="auto"/>
        <w:jc w:val="right"/>
        <w:bidi w:val="1"/>
      </w:pPr>
      <w:r>
        <w:rPr>
          <w:rFonts w:ascii="Traditional Arabic" w:hAnsi="Traditional Arabic" w:cs="Traditional Arabic" w:eastAsia="Traditional Arabic"/>
          <w:b/>
          <w:color w:val="2E5B8A"/>
          <w:sz w:val="28"/>
          <w:rtl w:val="1"/>
        </w:rPr>
        <w:t>3) الشيك</w:t>
      </w:r>
    </w:p>
    <w:p>
      <w:pPr>
        <w:spacing w:before="0" w:after="80" w:line="288" w:lineRule="auto"/>
        <w:jc w:val="both"/>
        <w:bidi w:val="1"/>
      </w:pPr>
      <w:r>
        <w:rPr>
          <w:rFonts w:ascii="Traditional Arabic" w:hAnsi="Traditional Arabic" w:cs="Traditional Arabic" w:eastAsia="Traditional Arabic"/>
          <w:b w:val="0"/>
          <w:sz w:val="28"/>
          <w:rtl w:val="1"/>
        </w:rPr>
        <w:t>محرَّر مكتوب وفق شكل حدّده القانون، يتضمّن أمراً صادراً من «الساحب» إلى بنك يُسمّى «المسحوب عليه» بأن يدفع لشخص ثالث هو «المستفيد» أو لأمره أو لحامله مبلغاً معيّناً من النقود بمجرّد الاطّلاع. ويتميّز الشيك بكونه أداة وفاء فحسب لا أداة ائتمان، إذ يستحقّ الدفع فور تقديمه، ويشترط أن يكون المسحوب عليه بنكاً، وأن يكون للساحب لديه رصيد سابق قابل للسحب. ومن بياناته الإلزامية: لفظ «شيك» في متن الصكّ، أمر غير معلّق على شرط بدفع مبلغ معيّن، اسم البنك المسحوب عليه، مكان الوفاء، تاريخ ومكان الإنشاء، وتوقيع الساحب. ويُجرَّم قانوناً إصداره دون رصيد قائم وقابل للسحب.</w:t>
      </w:r>
    </w:p>
    <w:p>
      <w:pPr>
        <w:spacing w:before="120" w:after="80" w:line="288" w:lineRule="auto"/>
        <w:jc w:val="right"/>
        <w:bidi w:val="1"/>
      </w:pPr>
      <w:r>
        <w:rPr>
          <w:rFonts w:ascii="Traditional Arabic" w:hAnsi="Traditional Arabic" w:cs="Traditional Arabic" w:eastAsia="Traditional Arabic"/>
          <w:b/>
          <w:color w:val="1F3A5F"/>
          <w:sz w:val="32"/>
          <w:rtl w:val="1"/>
        </w:rPr>
        <w:t>خامساً: تمييز الأوراق التجارية عمّا يشتبه بها</w:t>
      </w:r>
    </w:p>
    <w:p>
      <w:pPr>
        <w:pStyle w:val="ListBullet"/>
        <w:spacing w:after="40" w:line="288" w:lineRule="auto"/>
        <w:jc w:val="both"/>
        <w:bidi w:val="1"/>
      </w:pPr>
      <w:r>
        <w:rPr>
          <w:rFonts w:ascii="Traditional Arabic" w:hAnsi="Traditional Arabic" w:cs="Traditional Arabic" w:eastAsia="Traditional Arabic"/>
          <w:b w:val="0"/>
          <w:sz w:val="26"/>
          <w:rtl w:val="1"/>
        </w:rPr>
        <w:t>الأوراق المالية: كالأسهم والسندات التي تُصدرها الشركات أو الحكومات، وهي طويلة الأجل وأداة استثمار لا وفاء، وقيمتها متغيّرة بحسب السوق.</w:t>
      </w:r>
    </w:p>
    <w:p>
      <w:pPr>
        <w:pStyle w:val="ListBullet"/>
        <w:spacing w:after="40" w:line="288" w:lineRule="auto"/>
        <w:jc w:val="both"/>
        <w:bidi w:val="1"/>
      </w:pPr>
      <w:r>
        <w:rPr>
          <w:rFonts w:ascii="Traditional Arabic" w:hAnsi="Traditional Arabic" w:cs="Traditional Arabic" w:eastAsia="Traditional Arabic"/>
          <w:b w:val="0"/>
          <w:sz w:val="26"/>
          <w:rtl w:val="1"/>
        </w:rPr>
        <w:t>الأوراق النقدية: تصدرها الدولة عبر البنك المركزي، ولها قوة إبراء قانونية مطلقة لا يجوز رفضها، بخلاف الأوراق التجارية التي يكون قبولها رضائياً.</w:t>
      </w:r>
    </w:p>
    <w:p>
      <w:pPr>
        <w:pStyle w:val="ListBullet"/>
        <w:spacing w:after="40" w:line="288" w:lineRule="auto"/>
        <w:jc w:val="both"/>
        <w:bidi w:val="1"/>
      </w:pPr>
      <w:r>
        <w:rPr>
          <w:rFonts w:ascii="Traditional Arabic" w:hAnsi="Traditional Arabic" w:cs="Traditional Arabic" w:eastAsia="Traditional Arabic"/>
          <w:b w:val="0"/>
          <w:sz w:val="26"/>
          <w:rtl w:val="1"/>
        </w:rPr>
        <w:t>سندات الدين العادية: تخضع لقواعد القانون المدني، وليست قابلة للتداول بالطرق التجارية، ولا يتمتّع حاملها بضمانات الورقة التجارية.</w:t>
      </w:r>
    </w:p>
    <w:p>
      <w:pPr>
        <w:spacing w:before="120" w:after="80" w:line="288" w:lineRule="auto"/>
        <w:jc w:val="right"/>
        <w:bidi w:val="1"/>
      </w:pPr>
      <w:r>
        <w:rPr>
          <w:rFonts w:ascii="Traditional Arabic" w:hAnsi="Traditional Arabic" w:cs="Traditional Arabic" w:eastAsia="Traditional Arabic"/>
          <w:b/>
          <w:color w:val="1F3A5F"/>
          <w:sz w:val="32"/>
          <w:rtl w:val="1"/>
        </w:rPr>
        <w:t>خاتمة</w:t>
      </w:r>
    </w:p>
    <w:p>
      <w:pPr>
        <w:spacing w:before="0" w:after="80" w:line="288" w:lineRule="auto"/>
        <w:jc w:val="both"/>
        <w:bidi w:val="1"/>
      </w:pPr>
      <w:r>
        <w:rPr>
          <w:rFonts w:ascii="Traditional Arabic" w:hAnsi="Traditional Arabic" w:cs="Traditional Arabic" w:eastAsia="Traditional Arabic"/>
          <w:b w:val="0"/>
          <w:sz w:val="28"/>
          <w:rtl w:val="1"/>
        </w:rPr>
        <w:t>تشكّل الأوراق التجارية ركيزة أساسية من ركائز الحياة الاقتصادية والتجارية الحديثة، لما تتيحه من سرعة في تداول الأموال وضمان للحقوق وتيسير للائتمان. ويستلزم التعامل بها معرفةً دقيقة بشروطها الشكلية وبياناتها الإلزامية حتى تنتج آثارها القانونية الكاملة، وتحقّق الغاية التي شُرّعت من أجلها وهي الإسهام في تنشيط الحركة التجارية وتوفير الحماية القانونية لأطرافها.</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