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8A936" w14:textId="4B634C20" w:rsidR="00E905DB" w:rsidRDefault="00F61DD5" w:rsidP="00F61DD5">
      <w:pPr>
        <w:pStyle w:val="Titolo1"/>
      </w:pPr>
      <w:r>
        <w:t>IFRS Model –06.2024</w:t>
      </w:r>
    </w:p>
    <w:p w14:paraId="6A374933" w14:textId="5B1A8D6C" w:rsidR="00F61DD5" w:rsidRDefault="001D5E95" w:rsidP="00F61DD5">
      <w:pPr>
        <w:pStyle w:val="Titolo2"/>
      </w:pPr>
      <w:r>
        <w:t>Panoramica degli</w:t>
      </w:r>
      <w:r w:rsidR="00F61DD5">
        <w:t xml:space="preserve"> IFRS</w:t>
      </w:r>
      <w:r w:rsidR="009F7E1A">
        <w:t xml:space="preserve"> SME</w:t>
      </w:r>
    </w:p>
    <w:p w14:paraId="7E70FEA5" w14:textId="7616F17E" w:rsidR="00F61DD5" w:rsidRDefault="00F61DD5" w:rsidP="00F61DD5">
      <w:pPr>
        <w:pStyle w:val="Titolo3"/>
      </w:pPr>
      <w:r>
        <w:t>Definizione</w:t>
      </w:r>
    </w:p>
    <w:p w14:paraId="0C7EDEA8" w14:textId="1CF75DD6" w:rsidR="00F61DD5" w:rsidRDefault="000E0260" w:rsidP="00F61DD5">
      <w:r>
        <w:t xml:space="preserve">Sono un insieme di </w:t>
      </w:r>
      <w:r w:rsidR="004554F9">
        <w:t>standard</w:t>
      </w:r>
      <w:r>
        <w:t xml:space="preserve"> contabili</w:t>
      </w:r>
      <w:r w:rsidR="004554F9">
        <w:t xml:space="preserve"> adottati a livello globale </w:t>
      </w:r>
      <w:r>
        <w:t xml:space="preserve">per il financial statement per le aziende medio-piccole con l’obiettivo di </w:t>
      </w:r>
      <w:r w:rsidR="004554F9">
        <w:t xml:space="preserve">garantire </w:t>
      </w:r>
      <w:r>
        <w:t>trasparen</w:t>
      </w:r>
      <w:r w:rsidR="00686525">
        <w:t>za</w:t>
      </w:r>
      <w:r w:rsidR="00C84175">
        <w:t>,</w:t>
      </w:r>
      <w:r>
        <w:t xml:space="preserve"> </w:t>
      </w:r>
      <w:r w:rsidR="004554F9">
        <w:t xml:space="preserve">affidabilità </w:t>
      </w:r>
      <w:r w:rsidR="00C84175">
        <w:t>e comparabilità</w:t>
      </w:r>
      <w:r w:rsidR="009F6944">
        <w:t xml:space="preserve"> </w:t>
      </w:r>
      <w:r w:rsidR="004554F9">
        <w:t>delle informazioni finanziarie delle aziende</w:t>
      </w:r>
      <w:r>
        <w:t xml:space="preserve">. </w:t>
      </w:r>
      <w:r w:rsidR="004554F9">
        <w:t>Sono stati emessi dall’International Accounting Standards Board</w:t>
      </w:r>
      <w:r w:rsidR="003738D0">
        <w:t xml:space="preserve"> (IASB)</w:t>
      </w:r>
      <w:r w:rsidR="004554F9">
        <w:t xml:space="preserve">, un’organizzazione indipendente con sede a Londra, composta da un gruppo di esperti con la funzione di definire </w:t>
      </w:r>
      <w:r w:rsidR="003915A8">
        <w:t xml:space="preserve">i </w:t>
      </w:r>
      <w:r w:rsidR="004554F9">
        <w:t>principi contabili, preparare, revision</w:t>
      </w:r>
      <w:r w:rsidR="003915A8">
        <w:t>are</w:t>
      </w:r>
      <w:r w:rsidR="004554F9">
        <w:t xml:space="preserve"> o </w:t>
      </w:r>
      <w:r w:rsidR="003915A8">
        <w:t>utilizzare</w:t>
      </w:r>
      <w:r w:rsidR="004554F9">
        <w:t xml:space="preserve"> </w:t>
      </w:r>
      <w:r w:rsidR="003915A8">
        <w:t>i</w:t>
      </w:r>
      <w:r w:rsidR="004554F9">
        <w:t xml:space="preserve"> rendiconti finanziari e nella formazione contabile.</w:t>
      </w:r>
    </w:p>
    <w:p w14:paraId="64F59849" w14:textId="17ACBB07" w:rsidR="003738D0" w:rsidRDefault="003738D0" w:rsidP="00F61DD5">
      <w:r>
        <w:t>All’emissione di una nuova norma da parte dello IASB, ci dev’essere l’approvazione dall’Unione Europea, nello specifico processo di approvazione, la responsabilità è della Commissione europea con altri organismi consuntivi.</w:t>
      </w:r>
    </w:p>
    <w:p w14:paraId="62F6A3D2" w14:textId="2A1B6979" w:rsidR="002D4557" w:rsidRDefault="002D4557" w:rsidP="00F61DD5">
      <w:r>
        <w:t>(</w:t>
      </w:r>
      <w:r w:rsidRPr="002D4557">
        <w:t>https://fiscomania.com/principi-contabili-internazionali-ias/</w:t>
      </w:r>
      <w:r>
        <w:t xml:space="preserve">) </w:t>
      </w:r>
    </w:p>
    <w:p w14:paraId="0B96C455" w14:textId="317C518A" w:rsidR="002D4557" w:rsidRDefault="002D4557" w:rsidP="00F61DD5">
      <w:r w:rsidRPr="009F7E1A">
        <w:t>(</w:t>
      </w:r>
      <w:hyperlink r:id="rId7" w:history="1">
        <w:r w:rsidR="007B6650" w:rsidRPr="006E0354">
          <w:rPr>
            <w:rStyle w:val="Collegamentoipertestuale"/>
          </w:rPr>
          <w:t>https://www.ifrs.org/groups/international-accounting-standards-board/</w:t>
        </w:r>
      </w:hyperlink>
      <w:r w:rsidRPr="009F7E1A">
        <w:t>)</w:t>
      </w:r>
    </w:p>
    <w:p w14:paraId="11EF11C3" w14:textId="5777A6E0" w:rsidR="007B6650" w:rsidRDefault="007B6650" w:rsidP="00F61DD5">
      <w:r>
        <w:t>(</w:t>
      </w:r>
      <w:hyperlink r:id="rId8" w:history="1">
        <w:r w:rsidRPr="006E0354">
          <w:rPr>
            <w:rStyle w:val="Collegamentoipertestuale"/>
          </w:rPr>
          <w:t>https://finance.ec.europa.eu/capital-markets-union-and-financial-markets/company-reporting-and-auditing/company-reporting/financial-reporting_en?prefLang=it&amp;etrans=it</w:t>
        </w:r>
      </w:hyperlink>
      <w:r>
        <w:t>)</w:t>
      </w:r>
    </w:p>
    <w:p w14:paraId="077A1325" w14:textId="18CB5AE9" w:rsidR="00595B4C" w:rsidRDefault="00595B4C" w:rsidP="00F61DD5">
      <w:r>
        <w:t>(</w:t>
      </w:r>
      <w:hyperlink r:id="rId9" w:history="1">
        <w:r>
          <w:rPr>
            <w:rStyle w:val="Collegamentoipertestuale"/>
          </w:rPr>
          <w:t>PCI_Schemi di bilancio_Iannucci.pdf (fondazionenazionalecommercialisti.it)</w:t>
        </w:r>
      </w:hyperlink>
      <w:r>
        <w:t>)</w:t>
      </w:r>
    </w:p>
    <w:p w14:paraId="0DC6D5EE" w14:textId="21671B14" w:rsidR="002D4557" w:rsidRPr="009F7E1A" w:rsidRDefault="002D4557" w:rsidP="002D4557">
      <w:pPr>
        <w:pStyle w:val="Titolo3"/>
      </w:pPr>
      <w:r w:rsidRPr="001D5E95">
        <w:t>Obiettivi</w:t>
      </w:r>
    </w:p>
    <w:p w14:paraId="758CDC47" w14:textId="7995F8E4" w:rsidR="002D4557" w:rsidRDefault="00E23533" w:rsidP="002D4557">
      <w:r w:rsidRPr="00E23533">
        <w:t xml:space="preserve">Lo scopo </w:t>
      </w:r>
      <w:r>
        <w:t xml:space="preserve">principale è creare una struttura contabile comune alla maggior parte delle imprese che operano all’interno della Comunità Europea, avendo come vantaggio più semplicità e trasparenza rispetto ai bilanci e alle informazioni finanziarie. </w:t>
      </w:r>
    </w:p>
    <w:p w14:paraId="172E9C6A" w14:textId="66EDBE2D" w:rsidR="00394F04" w:rsidRDefault="00394F04" w:rsidP="002D4557">
      <w:r>
        <w:t>Gli obiettivi si caratterizzano in diversi aspetti come di seguito:</w:t>
      </w:r>
    </w:p>
    <w:p w14:paraId="72702092" w14:textId="4E489085" w:rsidR="00394F04" w:rsidRDefault="00394F04" w:rsidP="00487B26">
      <w:pPr>
        <w:pStyle w:val="Paragrafoelenco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 w:rsidRPr="00CE07DB">
        <w:rPr>
          <w:b/>
          <w:bCs/>
        </w:rPr>
        <w:t>Trasparenza</w:t>
      </w:r>
      <w:r>
        <w:t>: fornire agli stakeholder informazioni chiare e dettagliate sullo stato di salute aziendale e le sue performance finanziarie;</w:t>
      </w:r>
    </w:p>
    <w:p w14:paraId="4DE5FD57" w14:textId="1203BBD3" w:rsidR="00394F04" w:rsidRDefault="00394F04" w:rsidP="00487B26">
      <w:pPr>
        <w:pStyle w:val="Paragrafoelenco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 w:rsidRPr="00CE07DB">
        <w:rPr>
          <w:b/>
          <w:bCs/>
        </w:rPr>
        <w:t>Affidabilità</w:t>
      </w:r>
      <w:r>
        <w:t>: report finanziari che siano corrispettivi della realtà aziendale e che siano affidabili.</w:t>
      </w:r>
    </w:p>
    <w:p w14:paraId="7C5C7DBD" w14:textId="7E5B0019" w:rsidR="00394F04" w:rsidRDefault="00394F04" w:rsidP="00487B26">
      <w:pPr>
        <w:pStyle w:val="Paragrafoelenco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 w:rsidRPr="00CE07DB">
        <w:rPr>
          <w:b/>
          <w:bCs/>
        </w:rPr>
        <w:t>Uniformità</w:t>
      </w:r>
      <w:r>
        <w:t>: riportare informazioni finanziarie confrontabili a livello globale;</w:t>
      </w:r>
    </w:p>
    <w:p w14:paraId="517E5F51" w14:textId="60138F3E" w:rsidR="00394F04" w:rsidRDefault="00394F04" w:rsidP="00487B26">
      <w:pPr>
        <w:pStyle w:val="Paragrafoelenco"/>
        <w:numPr>
          <w:ilvl w:val="0"/>
          <w:numId w:val="4"/>
        </w:numPr>
        <w:spacing w:after="120" w:line="240" w:lineRule="auto"/>
        <w:ind w:left="714" w:hanging="357"/>
        <w:contextualSpacing w:val="0"/>
      </w:pPr>
      <w:r w:rsidRPr="00CE07DB">
        <w:rPr>
          <w:b/>
          <w:bCs/>
        </w:rPr>
        <w:t>Rilevanza</w:t>
      </w:r>
      <w:r>
        <w:t>: assicurare che le informazioni importanti siano fornite ai potenziali investitori ed altri stakeholder.</w:t>
      </w:r>
    </w:p>
    <w:p w14:paraId="2CFD5376" w14:textId="48F71470" w:rsidR="004D4ED1" w:rsidRDefault="004D4ED1" w:rsidP="004D4ED1">
      <w:r>
        <w:br w:type="page"/>
      </w:r>
    </w:p>
    <w:p w14:paraId="375698DC" w14:textId="6D3E5DD7" w:rsidR="006258E8" w:rsidRDefault="00964204" w:rsidP="000914A8">
      <w:pPr>
        <w:pStyle w:val="Titolo2"/>
      </w:pPr>
      <w:r>
        <w:lastRenderedPageBreak/>
        <w:t>Principi fondamentali</w:t>
      </w:r>
    </w:p>
    <w:p w14:paraId="64F75F8D" w14:textId="4D100E4B" w:rsidR="00964204" w:rsidRDefault="00964204" w:rsidP="000914A8">
      <w:pPr>
        <w:pStyle w:val="Titolo3"/>
      </w:pPr>
      <w:r w:rsidRPr="000914A8">
        <w:t xml:space="preserve">Principi contabili </w:t>
      </w:r>
      <w:r w:rsidR="00AE7124">
        <w:t>IFRS SME</w:t>
      </w:r>
    </w:p>
    <w:p w14:paraId="22B291F7" w14:textId="2468DF0F" w:rsidR="00324401" w:rsidRDefault="00324401" w:rsidP="00324401">
      <w:r w:rsidRPr="00324401">
        <w:rPr>
          <w:b/>
          <w:bCs/>
        </w:rPr>
        <w:t>Rilevazione completa</w:t>
      </w:r>
      <w:r w:rsidRPr="00324401">
        <w:t>: Tutte le informazioni rilevanti devono essere integralmente divulgate</w:t>
      </w:r>
    </w:p>
    <w:p w14:paraId="770C4F12" w14:textId="43CD4134" w:rsidR="00F25D12" w:rsidRPr="00324401" w:rsidRDefault="00F25D12" w:rsidP="00324401">
      <w:r w:rsidRPr="00324401">
        <w:rPr>
          <w:b/>
          <w:bCs/>
        </w:rPr>
        <w:t>Principio della sostanza sulla forma</w:t>
      </w:r>
      <w:r w:rsidRPr="00324401">
        <w:t xml:space="preserve">: </w:t>
      </w:r>
      <w:r>
        <w:t>Le operazioni devono essere contabilizzate e rappresentate in base alla loro essenza e realtà economica, non soltanto alla loro forma giuridica.</w:t>
      </w:r>
    </w:p>
    <w:p w14:paraId="2E3F84C0" w14:textId="56F83BFC" w:rsidR="00324401" w:rsidRPr="00324401" w:rsidRDefault="00324401" w:rsidP="00324401">
      <w:r w:rsidRPr="00324401">
        <w:rPr>
          <w:b/>
          <w:bCs/>
        </w:rPr>
        <w:t>Principio di prudenza</w:t>
      </w:r>
      <w:r w:rsidRPr="00324401">
        <w:t>: Le incertezze e i rischi devono essere debitamente presi in considerazione.</w:t>
      </w:r>
    </w:p>
    <w:p w14:paraId="123382AE" w14:textId="4FBB1EFE" w:rsidR="00324401" w:rsidRDefault="00324401" w:rsidP="00324401">
      <w:r w:rsidRPr="00324401">
        <w:rPr>
          <w:b/>
          <w:bCs/>
        </w:rPr>
        <w:t>Valutazione al</w:t>
      </w:r>
      <w:r>
        <w:rPr>
          <w:b/>
          <w:bCs/>
        </w:rPr>
        <w:t xml:space="preserve"> </w:t>
      </w:r>
      <w:r w:rsidRPr="00324401">
        <w:rPr>
          <w:b/>
          <w:bCs/>
        </w:rPr>
        <w:t>fair value</w:t>
      </w:r>
      <w:r w:rsidRPr="00324401">
        <w:t>: Numerose poste di bilancio devono essere misurate al loro valore equo (fair value), anziché al costo originario di acquisizione.</w:t>
      </w:r>
    </w:p>
    <w:p w14:paraId="07AD8164" w14:textId="27E7C3FF" w:rsidR="00324401" w:rsidRPr="00324401" w:rsidRDefault="00324401" w:rsidP="00324401">
      <w:pPr>
        <w:pStyle w:val="Titolo3"/>
      </w:pPr>
      <w:r>
        <w:t>Caratteristiche qualitative dell’informazioni finanziarie</w:t>
      </w:r>
    </w:p>
    <w:p w14:paraId="4D40FABF" w14:textId="0C11E812" w:rsidR="006258E8" w:rsidRPr="00184DEB" w:rsidRDefault="00DE13C5" w:rsidP="00184DEB">
      <w:pPr>
        <w:jc w:val="both"/>
        <w:rPr>
          <w:b/>
          <w:bCs/>
        </w:rPr>
      </w:pPr>
      <w:r w:rsidRPr="00184DEB">
        <w:rPr>
          <w:b/>
          <w:bCs/>
        </w:rPr>
        <w:t>Comprensibilità</w:t>
      </w:r>
    </w:p>
    <w:p w14:paraId="56FEABA9" w14:textId="1070717E" w:rsidR="00B3294D" w:rsidRDefault="00C57E7B">
      <w:r>
        <w:t>L</w:t>
      </w:r>
      <w:r w:rsidR="00E17FF8">
        <w:t>a presentazione dell</w:t>
      </w:r>
      <w:r>
        <w:t xml:space="preserve">e informazioni </w:t>
      </w:r>
      <w:r w:rsidR="00E17FF8">
        <w:t xml:space="preserve">sui </w:t>
      </w:r>
      <w:r>
        <w:t>rendiconti finan</w:t>
      </w:r>
      <w:r w:rsidR="00E17FF8">
        <w:t xml:space="preserve">ziarie </w:t>
      </w:r>
      <w:r w:rsidR="00184DEB">
        <w:t>dovrebbe essere comprensibile</w:t>
      </w:r>
      <w:r w:rsidR="000554BB">
        <w:t xml:space="preserve"> riguardo le attività commerciali, economiche dell’azienda. Tale principio non </w:t>
      </w:r>
      <w:r w:rsidR="0040449B">
        <w:t>permette di omettere informazioni importanti poiché</w:t>
      </w:r>
      <w:r w:rsidR="00785058">
        <w:t xml:space="preserve"> diventerebbe difficile da comprendere per alcuni utenti.</w:t>
      </w:r>
    </w:p>
    <w:p w14:paraId="1CCC86BD" w14:textId="107E43E0" w:rsidR="00184DEB" w:rsidRDefault="00AE7124" w:rsidP="006258E8">
      <w:pPr>
        <w:rPr>
          <w:b/>
          <w:bCs/>
        </w:rPr>
      </w:pPr>
      <w:r w:rsidRPr="00AE7124">
        <w:rPr>
          <w:b/>
          <w:bCs/>
        </w:rPr>
        <w:t>Comparabilità</w:t>
      </w:r>
    </w:p>
    <w:p w14:paraId="530EE377" w14:textId="3C1B7BD7" w:rsidR="00AE7124" w:rsidRDefault="00543E96" w:rsidP="006258E8">
      <w:r>
        <w:t xml:space="preserve">Le informazioni </w:t>
      </w:r>
      <w:r w:rsidR="00677C0A">
        <w:t>relative ad un’entità sono utili</w:t>
      </w:r>
      <w:r w:rsidR="008C1EDB">
        <w:t xml:space="preserve"> se possono essere </w:t>
      </w:r>
      <w:r w:rsidR="00667702">
        <w:t>confrontabili</w:t>
      </w:r>
      <w:r w:rsidR="008C1EDB">
        <w:t xml:space="preserve"> con altre informazioni simili di altre entità. Questa caratteristica </w:t>
      </w:r>
      <w:r w:rsidR="00497818">
        <w:t>permette agli stakeholder di identificare e comprendere le somiglianze e differenze rispetto alle realtà contabili aziendali.</w:t>
      </w:r>
    </w:p>
    <w:p w14:paraId="6AAF542D" w14:textId="63178400" w:rsidR="00667702" w:rsidRPr="00C70BB5" w:rsidRDefault="00C70BB5" w:rsidP="006258E8">
      <w:pPr>
        <w:rPr>
          <w:b/>
          <w:bCs/>
        </w:rPr>
      </w:pPr>
      <w:r w:rsidRPr="00C70BB5">
        <w:rPr>
          <w:b/>
          <w:bCs/>
        </w:rPr>
        <w:t>Verificabilità</w:t>
      </w:r>
    </w:p>
    <w:p w14:paraId="7D20C0F7" w14:textId="62F06E62" w:rsidR="00C70BB5" w:rsidRDefault="00CB355E" w:rsidP="006258E8">
      <w:r>
        <w:t xml:space="preserve">La verificabilità aiuta ad assicurare una </w:t>
      </w:r>
      <w:r w:rsidR="00926F63">
        <w:t xml:space="preserve">rappresentazione fedele delle informazioni contabili e finanziarie </w:t>
      </w:r>
      <w:r w:rsidR="00960800">
        <w:t>dell’</w:t>
      </w:r>
      <w:r w:rsidR="00E35758">
        <w:t>aziend</w:t>
      </w:r>
      <w:r w:rsidR="00960800">
        <w:t>a</w:t>
      </w:r>
      <w:r w:rsidR="00E35758">
        <w:t>.</w:t>
      </w:r>
      <w:r w:rsidR="00960800">
        <w:t xml:space="preserve"> L</w:t>
      </w:r>
      <w:r w:rsidR="007B021D">
        <w:t>e</w:t>
      </w:r>
      <w:r w:rsidR="00960800">
        <w:t xml:space="preserve"> informazioni</w:t>
      </w:r>
      <w:r w:rsidR="007B021D">
        <w:t xml:space="preserve"> quantificate</w:t>
      </w:r>
      <w:r w:rsidR="00960800">
        <w:t xml:space="preserve"> contabili </w:t>
      </w:r>
      <w:r w:rsidR="007B021D">
        <w:t>non devono essere forzatamente</w:t>
      </w:r>
      <w:r w:rsidR="00B80C22">
        <w:t xml:space="preserve"> una stima puntuale per essere verificabili.</w:t>
      </w:r>
    </w:p>
    <w:p w14:paraId="0534E22E" w14:textId="4A2D58B2" w:rsidR="00F47A38" w:rsidRDefault="006C1D3E" w:rsidP="006258E8">
      <w:pPr>
        <w:rPr>
          <w:b/>
          <w:bCs/>
        </w:rPr>
      </w:pPr>
      <w:r>
        <w:rPr>
          <w:b/>
          <w:bCs/>
        </w:rPr>
        <w:t>Tempestività</w:t>
      </w:r>
    </w:p>
    <w:p w14:paraId="38AC7893" w14:textId="22C4571A" w:rsidR="006C1D3E" w:rsidRDefault="00DB4DEB" w:rsidP="006258E8">
      <w:r>
        <w:t>La tempestività</w:t>
      </w:r>
      <w:r w:rsidR="001B3758">
        <w:t xml:space="preserve"> significa ave</w:t>
      </w:r>
      <w:r w:rsidR="00FA6045">
        <w:t>re</w:t>
      </w:r>
      <w:r w:rsidR="00F210E3">
        <w:t xml:space="preserve"> l</w:t>
      </w:r>
      <w:r w:rsidR="009A14CF">
        <w:t xml:space="preserve">a </w:t>
      </w:r>
      <w:r w:rsidR="0070060B">
        <w:t>disponibilità</w:t>
      </w:r>
      <w:r w:rsidR="009A14CF">
        <w:t xml:space="preserve"> di informazioni in tempo utile</w:t>
      </w:r>
      <w:r w:rsidR="006F089E">
        <w:t xml:space="preserve"> </w:t>
      </w:r>
      <w:r w:rsidR="00FA6045">
        <w:t>per</w:t>
      </w:r>
      <w:r w:rsidR="006F089E">
        <w:t xml:space="preserve"> prendere </w:t>
      </w:r>
      <w:r w:rsidR="00FA6045">
        <w:t xml:space="preserve">delle </w:t>
      </w:r>
      <w:r w:rsidR="006F089E">
        <w:t>decisioni</w:t>
      </w:r>
      <w:r w:rsidR="00796A62">
        <w:t>. I</w:t>
      </w:r>
      <w:r w:rsidR="006F089E">
        <w:t>n tal</w:t>
      </w:r>
      <w:r w:rsidR="00796A62">
        <w:t xml:space="preserve"> </w:t>
      </w:r>
      <w:r w:rsidR="006F089E">
        <w:t>senso più le informazioni sono vecchie meno sono utili</w:t>
      </w:r>
      <w:r w:rsidR="00B216CF">
        <w:t xml:space="preserve">. </w:t>
      </w:r>
      <w:r w:rsidR="00EB7EC4">
        <w:t xml:space="preserve">Ci sono </w:t>
      </w:r>
      <w:r w:rsidR="008221A5">
        <w:t>delle</w:t>
      </w:r>
      <w:r w:rsidR="00EB7EC4">
        <w:t xml:space="preserve"> eccezioni</w:t>
      </w:r>
      <w:r w:rsidR="00397589">
        <w:t xml:space="preserve">, si sottolinea che </w:t>
      </w:r>
      <w:r w:rsidR="00E74913">
        <w:t xml:space="preserve">per </w:t>
      </w:r>
      <w:r w:rsidR="00397589">
        <w:t>alcune</w:t>
      </w:r>
      <w:r w:rsidR="00B216CF">
        <w:t xml:space="preserve"> informazioni</w:t>
      </w:r>
      <w:r w:rsidR="00BD2473">
        <w:t xml:space="preserve"> possono essere</w:t>
      </w:r>
      <w:r w:rsidR="008A7B47">
        <w:t xml:space="preserve"> anche</w:t>
      </w:r>
      <w:r w:rsidR="00BD2473">
        <w:t xml:space="preserve"> meno tempestive siccome c’è una valutazione</w:t>
      </w:r>
      <w:r w:rsidR="00F709FD">
        <w:t xml:space="preserve"> su un arco di tempo maggiore per studiare e identificare delle tendenze.</w:t>
      </w:r>
      <w:r>
        <w:t xml:space="preserve"> </w:t>
      </w:r>
    </w:p>
    <w:p w14:paraId="0500C222" w14:textId="595EF6A0" w:rsidR="009365B0" w:rsidRDefault="009365B0">
      <w:r>
        <w:br w:type="page"/>
      </w:r>
    </w:p>
    <w:p w14:paraId="2B283004" w14:textId="5C842D7D" w:rsidR="005A7F6D" w:rsidRDefault="009365B0" w:rsidP="009365B0">
      <w:pPr>
        <w:pStyle w:val="Titolo2"/>
      </w:pPr>
      <w:r>
        <w:lastRenderedPageBreak/>
        <w:t>Composizione degli IFRS per SME</w:t>
      </w:r>
    </w:p>
    <w:p w14:paraId="071CAC1F" w14:textId="083D9932" w:rsidR="00B55F03" w:rsidRDefault="00B55F03" w:rsidP="00B55F03">
      <w:pPr>
        <w:pStyle w:val="Titolo3"/>
      </w:pPr>
      <w:r>
        <w:t>Introduzione</w:t>
      </w:r>
    </w:p>
    <w:p w14:paraId="091C1E60" w14:textId="0E3E60FD" w:rsidR="00B55F03" w:rsidRDefault="00CE07DB" w:rsidP="00B55F03">
      <w:r w:rsidRPr="00340C9E">
        <w:t xml:space="preserve">Secondo l’articolo 3.17 del documento “Exposure Draft IFRS for SMEs® Accounting Standard - Third edition of the IFRS for SMEs Accounting Standard – September 2022”, </w:t>
      </w:r>
      <w:r w:rsidR="00340C9E" w:rsidRPr="00340C9E">
        <w:t>deve includere tutti I seguenti documenti per</w:t>
      </w:r>
      <w:r w:rsidR="00340C9E">
        <w:t xml:space="preserve"> avere un set completo di bilancio:</w:t>
      </w:r>
    </w:p>
    <w:p w14:paraId="42B30A03" w14:textId="66B6D8E1" w:rsidR="00340C9E" w:rsidRDefault="00340C9E" w:rsidP="00340C9E">
      <w:pPr>
        <w:pStyle w:val="Paragrafoelenco"/>
        <w:numPr>
          <w:ilvl w:val="0"/>
          <w:numId w:val="4"/>
        </w:numPr>
      </w:pPr>
      <w:r>
        <w:t>Financial statement</w:t>
      </w:r>
      <w:r w:rsidR="00E83CEC">
        <w:t>;</w:t>
      </w:r>
    </w:p>
    <w:p w14:paraId="499BAF46" w14:textId="5FDA4AE1" w:rsidR="00340C9E" w:rsidRDefault="00340C9E" w:rsidP="00340C9E">
      <w:pPr>
        <w:pStyle w:val="Paragrafoelenco"/>
        <w:numPr>
          <w:ilvl w:val="0"/>
          <w:numId w:val="4"/>
        </w:numPr>
      </w:pPr>
      <w:r>
        <w:t>Income Statement</w:t>
      </w:r>
      <w:r w:rsidR="00E83CEC">
        <w:t>;</w:t>
      </w:r>
    </w:p>
    <w:p w14:paraId="33A5A38E" w14:textId="2AD43C8E" w:rsidR="00340C9E" w:rsidRPr="00E83CEC" w:rsidRDefault="00340C9E" w:rsidP="00340C9E">
      <w:pPr>
        <w:pStyle w:val="Paragrafoelenco"/>
        <w:numPr>
          <w:ilvl w:val="0"/>
          <w:numId w:val="4"/>
        </w:numPr>
        <w:rPr>
          <w:lang w:val="en-US"/>
        </w:rPr>
      </w:pPr>
      <w:r w:rsidRPr="00340C9E">
        <w:rPr>
          <w:lang w:val="en-US"/>
        </w:rPr>
        <w:t xml:space="preserve">Statement of changes in </w:t>
      </w:r>
      <w:r>
        <w:rPr>
          <w:lang w:val="en-US"/>
        </w:rPr>
        <w:t>equity</w:t>
      </w:r>
      <w:r w:rsidR="00E83CEC">
        <w:rPr>
          <w:lang w:val="en-US"/>
        </w:rPr>
        <w:t>;</w:t>
      </w:r>
    </w:p>
    <w:p w14:paraId="74813F26" w14:textId="61EF1E5D" w:rsidR="00340C9E" w:rsidRPr="00E83CEC" w:rsidRDefault="00340C9E" w:rsidP="00340C9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Cash flow</w:t>
      </w:r>
      <w:r w:rsidR="00E83CEC">
        <w:rPr>
          <w:lang w:val="en-US"/>
        </w:rPr>
        <w:t>;</w:t>
      </w:r>
    </w:p>
    <w:p w14:paraId="43F3B792" w14:textId="60DAEA86" w:rsidR="00340C9E" w:rsidRPr="00E83CEC" w:rsidRDefault="00340C9E" w:rsidP="00340C9E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Notes</w:t>
      </w:r>
      <w:r w:rsidR="00E83CEC">
        <w:rPr>
          <w:lang w:val="en-US"/>
        </w:rPr>
        <w:t>;</w:t>
      </w:r>
    </w:p>
    <w:p w14:paraId="2F15B6C0" w14:textId="77777777" w:rsidR="00EA2593" w:rsidRDefault="00EA2593" w:rsidP="00354AA1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EA2593">
        <w:rPr>
          <w:rFonts w:eastAsiaTheme="majorEastAsia" w:cstheme="majorBidi"/>
          <w:color w:val="0F4761" w:themeColor="accent1" w:themeShade="BF"/>
          <w:sz w:val="28"/>
          <w:szCs w:val="28"/>
        </w:rPr>
        <w:t>Statement of financial position</w:t>
      </w:r>
    </w:p>
    <w:p w14:paraId="2BEAE64A" w14:textId="28DFDC5D" w:rsidR="009365B0" w:rsidRDefault="00401DEF" w:rsidP="00354AA1">
      <w:r>
        <w:t>È un documento che rappresenta la situazione patrimoniale e finanziaria di un’azienda. Il bilancio è separato da attività correnti e non correnti</w:t>
      </w:r>
      <w:r w:rsidR="00354AA1">
        <w:t>, ed è composto da attivi, capitale proprio, passivi.</w:t>
      </w:r>
    </w:p>
    <w:p w14:paraId="5FDDCF6E" w14:textId="0E3EBCA7" w:rsidR="00354AA1" w:rsidRDefault="00354AA1" w:rsidP="00354AA1">
      <w:r w:rsidRPr="00354AA1">
        <w:t>Gli elementi d</w:t>
      </w:r>
      <w:r>
        <w:t xml:space="preserve">ell’attività correnti </w:t>
      </w:r>
      <w:r w:rsidRPr="00354AA1">
        <w:t>comprendono risorse che si prevede siano liquidate o utilizzate come parte delle operazioni aziendali usuali entro un anno dalla data del bilancio.</w:t>
      </w:r>
      <w:r w:rsidR="00B21DCD">
        <w:t xml:space="preserve"> La distinzione è particolarmente utile agli investitori che distinguono in presenza di un ciclo operativo il capitale circolante netto rispetto al capitale usato per operazioni a lungo termine.</w:t>
      </w:r>
    </w:p>
    <w:p w14:paraId="2D8217F6" w14:textId="7133DC06" w:rsidR="00C66DED" w:rsidRDefault="00C66DED" w:rsidP="00354AA1">
      <w:r>
        <w:t>Esiste anche un’altra presentazione, si basa sul grado di liquidità, ma è adatta a realtà bancarie e ad istituti finanziari che non forniscono beni o servizi entro un termine operativo identificabile.</w:t>
      </w:r>
    </w:p>
    <w:p w14:paraId="3BEE6E1A" w14:textId="44C7694A" w:rsidR="00A75BA6" w:rsidRDefault="00A75BA6" w:rsidP="00A75BA6">
      <w:r w:rsidRPr="00A75BA6">
        <w:t xml:space="preserve">Le attività </w:t>
      </w:r>
      <w:r>
        <w:t>non correnti</w:t>
      </w:r>
      <w:r w:rsidRPr="00A75BA6">
        <w:t xml:space="preserve"> sono risorse aziendali che si prevede rimarranno in uso per un periodo esteso oltre i dodici mesi dalla chiusura del bilancio</w:t>
      </w:r>
      <w:r w:rsidR="00776AFD">
        <w:t>.</w:t>
      </w:r>
    </w:p>
    <w:p w14:paraId="20DF69FC" w14:textId="5BDF8B6D" w:rsidR="00175097" w:rsidRDefault="00175097" w:rsidP="00A75BA6">
      <w:r w:rsidRPr="00175097">
        <w:t>Le passività a breve termine</w:t>
      </w:r>
      <w:r w:rsidR="00A24D94">
        <w:t xml:space="preserve"> (correnti)</w:t>
      </w:r>
      <w:r w:rsidRPr="00175097">
        <w:t xml:space="preserve"> sono quelle esigibili entro il consueto ciclo operativo oppure entro dodici mesi dalla data di riferimento del bilancio</w:t>
      </w:r>
      <w:r w:rsidR="00AA7990">
        <w:t>. I</w:t>
      </w:r>
      <w:r w:rsidRPr="00175097">
        <w:t xml:space="preserve"> debiti commerciali devono essere sempre classificati come passività a breve termine anche se il loro regolamento avverrà oltre il normale ciclo operativo o oltre dodici mesi dalla data di bilancio</w:t>
      </w:r>
      <w:r>
        <w:t>.</w:t>
      </w:r>
    </w:p>
    <w:p w14:paraId="12218FAC" w14:textId="66F98A92" w:rsidR="00175097" w:rsidRDefault="00175097" w:rsidP="00A75BA6">
      <w:r w:rsidRPr="00175097">
        <w:t>Le passività a lungo termine</w:t>
      </w:r>
      <w:r w:rsidR="00A24D94">
        <w:t xml:space="preserve"> (non correnti)</w:t>
      </w:r>
      <w:r w:rsidRPr="00175097">
        <w:t xml:space="preserve"> sono quelle esigibili oltre il consueto ciclo operativo o oltre dodici mesi dalla data di riferimento del bilancio.</w:t>
      </w:r>
    </w:p>
    <w:p w14:paraId="7F44AD12" w14:textId="6C66B9AF" w:rsidR="009365B0" w:rsidRPr="00EA2593" w:rsidRDefault="009365B0" w:rsidP="009365B0">
      <w:pPr>
        <w:pStyle w:val="Titolo3"/>
      </w:pPr>
      <w:r w:rsidRPr="00EA2593">
        <w:t>Income statement</w:t>
      </w:r>
    </w:p>
    <w:p w14:paraId="696A90E9" w14:textId="51E2AD7E" w:rsidR="009365B0" w:rsidRPr="00FA126A" w:rsidRDefault="00FA126A" w:rsidP="009365B0">
      <w:r w:rsidRPr="00FA126A">
        <w:t>L’income statement é la rapprese</w:t>
      </w:r>
      <w:r>
        <w:t xml:space="preserve">ntazione del conto economico ed è classificato secondo il metodo delle </w:t>
      </w:r>
      <w:r w:rsidR="002C1501" w:rsidRPr="00182CF2">
        <w:rPr>
          <w:i/>
          <w:iCs/>
        </w:rPr>
        <w:t>by nature of expense</w:t>
      </w:r>
      <w:r>
        <w:t>.</w:t>
      </w:r>
      <w:r w:rsidR="00EB2CFB">
        <w:t xml:space="preserve"> </w:t>
      </w:r>
      <w:r w:rsidR="00685702">
        <w:t xml:space="preserve">La </w:t>
      </w:r>
      <w:r w:rsidR="00444043">
        <w:t xml:space="preserve">classificazione per </w:t>
      </w:r>
      <w:r w:rsidR="00EB2CFB">
        <w:t xml:space="preserve">natura è una delle possibilità disponibili dagli IFRS per SME, ed essendo quella più </w:t>
      </w:r>
      <w:r w:rsidR="00A045FC">
        <w:t>semplice</w:t>
      </w:r>
      <w:r w:rsidR="00EB2CFB">
        <w:t xml:space="preserve"> e flessibile a più realtà aziendali, è stato deciso di implementare questa. Il concetto è che i costi sono </w:t>
      </w:r>
      <w:r w:rsidR="0051454C">
        <w:t xml:space="preserve">aggregati </w:t>
      </w:r>
      <w:r w:rsidR="00EB2CFB">
        <w:t xml:space="preserve">secondo la loro natura, come ad esempio ammortamento, acquisti di materiali, costi di trasporto, …). Esiste anche </w:t>
      </w:r>
      <w:r w:rsidR="001E213C">
        <w:t xml:space="preserve">la classificazione secondo la destinazione dei costi, dove i costi </w:t>
      </w:r>
      <w:r w:rsidR="001E213C">
        <w:lastRenderedPageBreak/>
        <w:t xml:space="preserve">vengono distinti </w:t>
      </w:r>
      <w:r w:rsidR="009950DE">
        <w:t>con i</w:t>
      </w:r>
      <w:r w:rsidR="001E213C">
        <w:t xml:space="preserve"> costi del venduto, la stessa fornisce informazioni più significative ma richiede un considerevole </w:t>
      </w:r>
      <w:r w:rsidR="00B11DE5">
        <w:t>margine</w:t>
      </w:r>
      <w:r w:rsidR="001E213C">
        <w:t xml:space="preserve"> </w:t>
      </w:r>
      <w:r w:rsidR="0050016B">
        <w:t>discrezionale</w:t>
      </w:r>
      <w:r w:rsidR="00B11DE5">
        <w:t xml:space="preserve"> </w:t>
      </w:r>
      <w:r w:rsidR="009950DE">
        <w:t>al redattore del bilancio</w:t>
      </w:r>
      <w:r w:rsidR="001E213C">
        <w:t>.</w:t>
      </w:r>
    </w:p>
    <w:p w14:paraId="2D20EAB9" w14:textId="77777777" w:rsidR="009365B0" w:rsidRPr="00EA2593" w:rsidRDefault="009365B0" w:rsidP="009365B0">
      <w:pPr>
        <w:pStyle w:val="Titolo3"/>
      </w:pPr>
      <w:r w:rsidRPr="00EA2593">
        <w:t>Statement of changes in equity</w:t>
      </w:r>
    </w:p>
    <w:p w14:paraId="6CE66C28" w14:textId="38991440" w:rsidR="009365B0" w:rsidRPr="00C17892" w:rsidRDefault="004627E5" w:rsidP="009365B0">
      <w:r>
        <w:t>Il prospetto delle variazioni del patrimonio netto di un’azienda tra due esercizi</w:t>
      </w:r>
      <w:r w:rsidR="002222F0">
        <w:t xml:space="preserve"> </w:t>
      </w:r>
      <w:r w:rsidR="00C17892" w:rsidRPr="00C17892">
        <w:t>rispecchia le v</w:t>
      </w:r>
      <w:r w:rsidR="00C17892">
        <w:t>ariazioni del patrimonio netto dato l’incremento o il decremento delle</w:t>
      </w:r>
      <w:r w:rsidR="002222F0">
        <w:t xml:space="preserve"> sue</w:t>
      </w:r>
      <w:r w:rsidR="00C17892">
        <w:t xml:space="preserve"> attività nette d’esercizio o della ricchezza </w:t>
      </w:r>
      <w:r w:rsidR="002222F0">
        <w:t>generata</w:t>
      </w:r>
      <w:r w:rsidR="00C17892">
        <w:t xml:space="preserve">, </w:t>
      </w:r>
      <w:r w:rsidR="002222F0">
        <w:t xml:space="preserve">in base ai </w:t>
      </w:r>
      <w:r w:rsidR="00C17892">
        <w:t xml:space="preserve">criteri di valutazione </w:t>
      </w:r>
      <w:r w:rsidR="002222F0">
        <w:t xml:space="preserve">specifici </w:t>
      </w:r>
      <w:r w:rsidR="00C17892">
        <w:t>implementati e indicati nel bilancio.</w:t>
      </w:r>
    </w:p>
    <w:p w14:paraId="730B8B41" w14:textId="6C9A233B" w:rsidR="009365B0" w:rsidRPr="00C17892" w:rsidRDefault="009365B0" w:rsidP="009365B0">
      <w:pPr>
        <w:pStyle w:val="Titolo3"/>
      </w:pPr>
      <w:r w:rsidRPr="00C17892">
        <w:t>Cash flow</w:t>
      </w:r>
    </w:p>
    <w:p w14:paraId="7CA71ECE" w14:textId="77777777" w:rsidR="00251482" w:rsidRDefault="00251482" w:rsidP="00251482">
      <w:r>
        <w:t>Gli IFRS per le PMI richiedono una classificazione standard in attività operative, di investimento e di finanziamento.</w:t>
      </w:r>
    </w:p>
    <w:p w14:paraId="3255D0E1" w14:textId="77777777" w:rsidR="00251482" w:rsidRDefault="00251482" w:rsidP="00251482">
      <w:r>
        <w:t>In Svizzera, la struttura del rendiconto finanziario può essere più flessibile e adattata alle esigenze specifiche dell'impresa.</w:t>
      </w:r>
    </w:p>
    <w:p w14:paraId="213B0DF3" w14:textId="77777777" w:rsidR="00251482" w:rsidRDefault="00251482" w:rsidP="00251482">
      <w:r>
        <w:t>Metodo di presentazione:</w:t>
      </w:r>
    </w:p>
    <w:p w14:paraId="7192DE51" w14:textId="77777777" w:rsidR="00251482" w:rsidRDefault="00251482" w:rsidP="00251482">
      <w:r>
        <w:t>Gli IFRS per le PMI consentono sia il metodo diretto che il metodo indiretto per la presentazione dei flussi di cassa operativi.</w:t>
      </w:r>
    </w:p>
    <w:p w14:paraId="2A67CEBA" w14:textId="77777777" w:rsidR="00251482" w:rsidRDefault="00251482" w:rsidP="00251482">
      <w:r>
        <w:t>In Svizzera, il metodo indiretto è più comunemente utilizzato.</w:t>
      </w:r>
    </w:p>
    <w:p w14:paraId="6B726E70" w14:textId="77777777" w:rsidR="00251482" w:rsidRDefault="00251482" w:rsidP="00251482">
      <w:r>
        <w:t>Informativa aggiuntiva:</w:t>
      </w:r>
    </w:p>
    <w:p w14:paraId="2003B9B9" w14:textId="77777777" w:rsidR="00251482" w:rsidRDefault="00251482" w:rsidP="00251482">
      <w:r>
        <w:t>Gli IFRS per le PMI richiedono informazioni aggiuntive, come i flussi di cassa relativi agli interessi e alle imposte.</w:t>
      </w:r>
    </w:p>
    <w:p w14:paraId="49F8AB93" w14:textId="77777777" w:rsidR="00251482" w:rsidRDefault="00251482" w:rsidP="00251482">
      <w:r>
        <w:t>In Svizzera, l'informativa può essere più sintetica e focalizzata sugli aspetti ritenuti più rilevanti.</w:t>
      </w:r>
    </w:p>
    <w:p w14:paraId="63DAF72C" w14:textId="77777777" w:rsidR="00251482" w:rsidRDefault="00251482" w:rsidP="00251482">
      <w:r>
        <w:t>Trattamento di voci specifiche:</w:t>
      </w:r>
    </w:p>
    <w:p w14:paraId="62494BD8" w14:textId="77777777" w:rsidR="00251482" w:rsidRDefault="00251482" w:rsidP="00251482">
      <w:r>
        <w:t>Gli IFRS per le PMI forniscono linee guida più dettagliate su come classificare voci come leasing, dividendi, acquisizioni/cessioni di imprese.</w:t>
      </w:r>
    </w:p>
    <w:p w14:paraId="30EF76C9" w14:textId="77777777" w:rsidR="00251482" w:rsidRDefault="00251482" w:rsidP="00251482">
      <w:r>
        <w:t>In Svizzera, il trattamento di queste voci può essere più soggetto a interpretazione e prassi aziendali.</w:t>
      </w:r>
    </w:p>
    <w:p w14:paraId="6DACC446" w14:textId="77777777" w:rsidR="00251482" w:rsidRDefault="00251482" w:rsidP="00251482">
      <w:r>
        <w:t>Finalità e utilizzo:</w:t>
      </w:r>
    </w:p>
    <w:p w14:paraId="17F2A7AB" w14:textId="77777777" w:rsidR="00251482" w:rsidRDefault="00251482" w:rsidP="00251482">
      <w:r>
        <w:t>Gli IFRS per le PMI mirano a fornire informazioni utili per le decisioni economiche degli utilizzatori.</w:t>
      </w:r>
    </w:p>
    <w:p w14:paraId="5B1A94B8" w14:textId="531716DF" w:rsidR="009365B0" w:rsidRPr="00C17892" w:rsidRDefault="00251482" w:rsidP="00251482">
      <w:r>
        <w:t>In Svizzera, il rendiconto finanziario può avere anche finalità fiscali e di conformità normativa.</w:t>
      </w:r>
    </w:p>
    <w:p w14:paraId="300C64B0" w14:textId="77777777" w:rsidR="009365B0" w:rsidRPr="009365B0" w:rsidRDefault="009365B0" w:rsidP="009365B0">
      <w:pPr>
        <w:pStyle w:val="Titolo3"/>
      </w:pPr>
      <w:r w:rsidRPr="009365B0">
        <w:lastRenderedPageBreak/>
        <w:t>Notes</w:t>
      </w:r>
    </w:p>
    <w:p w14:paraId="0FDD4EC3" w14:textId="1029C8E7" w:rsidR="009365B0" w:rsidRDefault="00D60316" w:rsidP="009365B0">
      <w:r w:rsidRPr="00D60316">
        <w:t xml:space="preserve">Le </w:t>
      </w:r>
      <w:r>
        <w:t>n</w:t>
      </w:r>
      <w:r w:rsidRPr="00D60316">
        <w:t>ote al bilancio rappresentano una parte fondamentale del reporting finanziario secondo gli IFRS per le PMI. Esse forniscono informazioni aggiuntive e di dettaglio che integrano e spiegano i dati presentati nei prospetti contabili principali</w:t>
      </w:r>
      <w:r>
        <w:t>.</w:t>
      </w:r>
    </w:p>
    <w:p w14:paraId="3BF3AEA6" w14:textId="53340AE3" w:rsidR="00D60316" w:rsidRDefault="00502C91" w:rsidP="009365B0">
      <w:r>
        <w:t>Inoltre,</w:t>
      </w:r>
      <w:r w:rsidR="00D60316" w:rsidRPr="00D60316">
        <w:t xml:space="preserve"> svolgono un ruolo cruciale nel garantire la trasparenza e la completezza dell'informativa finanziaria, consentendo agli utilizzatori del bilancio di comprendere appieno la situazione patrimoniale, economica e finanziaria dell'impresa.</w:t>
      </w:r>
    </w:p>
    <w:p w14:paraId="3FCEC36C" w14:textId="1B81A59E" w:rsidR="00D60316" w:rsidRPr="00C17892" w:rsidRDefault="00502C91" w:rsidP="009365B0">
      <w:r>
        <w:t>In conclusione</w:t>
      </w:r>
      <w:r w:rsidR="00EC73C5">
        <w:t>,</w:t>
      </w:r>
      <w:r w:rsidR="00D60316" w:rsidRPr="00D60316">
        <w:t xml:space="preserve"> rappresentano quindi uno strumento essenziale per migliorare la trasparenza e la comparabilità dell'informativa finanziaria a livello internazionale.</w:t>
      </w:r>
    </w:p>
    <w:p w14:paraId="322B77AE" w14:textId="77777777" w:rsidR="003B5C24" w:rsidRPr="00C17892" w:rsidRDefault="003B5C24" w:rsidP="003B5C24">
      <w:pPr>
        <w:pStyle w:val="Titolo3"/>
      </w:pPr>
      <w:r w:rsidRPr="00C17892">
        <w:t>Referenza documentale</w:t>
      </w:r>
    </w:p>
    <w:p w14:paraId="63F70685" w14:textId="77777777" w:rsidR="003B5C24" w:rsidRDefault="003B5C24" w:rsidP="003B5C24">
      <w:r>
        <w:t xml:space="preserve">Per la creazione della struttura contabile all’interno del file Excel si è seguito le indicazioni della documentazione relativa agli standard IFRS per SME. </w:t>
      </w:r>
    </w:p>
    <w:p w14:paraId="489B1E62" w14:textId="4B004229" w:rsidR="003B5C24" w:rsidRDefault="003B5C24" w:rsidP="003B5C24">
      <w:r>
        <w:t xml:space="preserve">Nello specifico la documentazione è: </w:t>
      </w:r>
    </w:p>
    <w:p w14:paraId="01E97D15" w14:textId="77777777" w:rsidR="003B5C24" w:rsidRPr="00475153" w:rsidRDefault="003B5C24" w:rsidP="003B5C24">
      <w:pPr>
        <w:pStyle w:val="Paragrafoelenco"/>
        <w:numPr>
          <w:ilvl w:val="0"/>
          <w:numId w:val="1"/>
        </w:numPr>
      </w:pPr>
      <w:r w:rsidRPr="00475153">
        <w:t>Principi contabili, note e altro:</w:t>
      </w:r>
      <w:r>
        <w:t xml:space="preserve"> </w:t>
      </w:r>
      <w:r w:rsidRPr="00475153">
        <w:t>“Exposure Draft IFRS for SMEs Accounting Standard” di settembre 2022;</w:t>
      </w:r>
    </w:p>
    <w:p w14:paraId="3E3FD718" w14:textId="0A146200" w:rsidR="003B5C24" w:rsidRPr="003B5C24" w:rsidRDefault="003B5C24" w:rsidP="003B5C24">
      <w:pPr>
        <w:pStyle w:val="Paragrafoelenco"/>
        <w:numPr>
          <w:ilvl w:val="0"/>
          <w:numId w:val="1"/>
        </w:numPr>
      </w:pPr>
      <w:r w:rsidRPr="00475153">
        <w:t xml:space="preserve">La presentazione dei conti </w:t>
      </w:r>
      <w:r>
        <w:t xml:space="preserve">e delle note esplicative: </w:t>
      </w:r>
      <w:r w:rsidRPr="00475153">
        <w:t>“IFRS Taxonomy Illustrated IFRS Accounting Taxonomy 2023”.</w:t>
      </w:r>
    </w:p>
    <w:p w14:paraId="4FCA999E" w14:textId="7F8E6BE1" w:rsidR="003B5C24" w:rsidRPr="003B5C24" w:rsidRDefault="003B5C24" w:rsidP="003B5C24">
      <w:pPr>
        <w:pStyle w:val="Titolo3"/>
      </w:pPr>
      <w:r>
        <w:t>Descrizione della struttura del file</w:t>
      </w:r>
    </w:p>
    <w:p w14:paraId="08299629" w14:textId="11D08FEB" w:rsidR="00400D13" w:rsidRDefault="00782D63" w:rsidP="00475153">
      <w:r>
        <w:t xml:space="preserve">Il file è suddiviso in </w:t>
      </w:r>
      <w:r w:rsidR="00D22413">
        <w:t>cinque</w:t>
      </w:r>
      <w:r>
        <w:t xml:space="preserve"> parti principali, richieste per avere un set completo del bilancio</w:t>
      </w:r>
      <w:r w:rsidR="00B53BBC">
        <w:t xml:space="preserve"> secondo gli IFRS </w:t>
      </w:r>
      <w:r w:rsidR="00B832F0">
        <w:t xml:space="preserve">per </w:t>
      </w:r>
      <w:r w:rsidR="00B53BBC">
        <w:t>SME</w:t>
      </w:r>
      <w:r>
        <w:t>.</w:t>
      </w:r>
    </w:p>
    <w:p w14:paraId="662DCFBA" w14:textId="0686F268" w:rsidR="00492758" w:rsidRDefault="00782D63" w:rsidP="00475153">
      <w:r>
        <w:t>Le parti in questione sono:</w:t>
      </w:r>
    </w:p>
    <w:p w14:paraId="79AA2EE4" w14:textId="25930A14" w:rsidR="00492758" w:rsidRDefault="00492758" w:rsidP="00492758">
      <w:pPr>
        <w:pStyle w:val="Paragrafoelenco"/>
        <w:numPr>
          <w:ilvl w:val="0"/>
          <w:numId w:val="3"/>
        </w:numPr>
      </w:pPr>
      <w:r>
        <w:t>General information</w:t>
      </w:r>
      <w:r>
        <w:t>;</w:t>
      </w:r>
    </w:p>
    <w:p w14:paraId="77A5C791" w14:textId="67B119EF" w:rsidR="00492758" w:rsidRDefault="00492758" w:rsidP="00492758">
      <w:pPr>
        <w:pStyle w:val="Paragrafoelenco"/>
        <w:numPr>
          <w:ilvl w:val="0"/>
          <w:numId w:val="3"/>
        </w:numPr>
      </w:pPr>
      <w:r>
        <w:t>Financial Statement;</w:t>
      </w:r>
    </w:p>
    <w:p w14:paraId="700252ED" w14:textId="0C16E9DF" w:rsidR="00782D63" w:rsidRDefault="00782D63" w:rsidP="002A5B7E">
      <w:pPr>
        <w:pStyle w:val="Paragrafoelenco"/>
        <w:numPr>
          <w:ilvl w:val="0"/>
          <w:numId w:val="3"/>
        </w:numPr>
      </w:pPr>
      <w:r>
        <w:t xml:space="preserve">Income </w:t>
      </w:r>
      <w:r w:rsidR="00213F88">
        <w:t>Statement</w:t>
      </w:r>
      <w:r>
        <w:t>;</w:t>
      </w:r>
    </w:p>
    <w:p w14:paraId="465289DB" w14:textId="020990CE" w:rsidR="00782D63" w:rsidRDefault="00782D63" w:rsidP="002A5B7E">
      <w:pPr>
        <w:pStyle w:val="Paragrafoelenco"/>
        <w:numPr>
          <w:ilvl w:val="0"/>
          <w:numId w:val="3"/>
        </w:numPr>
        <w:rPr>
          <w:lang w:val="en-US"/>
        </w:rPr>
      </w:pPr>
      <w:r w:rsidRPr="00782D63">
        <w:rPr>
          <w:lang w:val="en-US"/>
        </w:rPr>
        <w:t>Statement of changes in equity;</w:t>
      </w:r>
    </w:p>
    <w:p w14:paraId="0848C150" w14:textId="06FEAED6" w:rsidR="00782D63" w:rsidRDefault="00782D63" w:rsidP="002A5B7E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Cash flow indirect;</w:t>
      </w:r>
    </w:p>
    <w:p w14:paraId="1348021E" w14:textId="71C9879B" w:rsidR="00F05B05" w:rsidRDefault="00782D63" w:rsidP="00F05B05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Notes of financial statements.</w:t>
      </w:r>
    </w:p>
    <w:p w14:paraId="56607C07" w14:textId="7ACD793C" w:rsidR="005223D7" w:rsidRDefault="005223D7" w:rsidP="005223D7">
      <w:pPr>
        <w:pStyle w:val="Titolo3"/>
      </w:pPr>
      <w:r>
        <w:t>Organizzazione del file</w:t>
      </w:r>
    </w:p>
    <w:p w14:paraId="77110A41" w14:textId="6EB6D72E" w:rsidR="005D2ABE" w:rsidRDefault="003902EE" w:rsidP="005D2ABE">
      <w:pPr>
        <w:pStyle w:val="Titolo4"/>
      </w:pPr>
      <w:r w:rsidRPr="003902EE">
        <w:t>Identifying information of company</w:t>
      </w:r>
    </w:p>
    <w:p w14:paraId="36F917DC" w14:textId="649BCF3E" w:rsidR="003902EE" w:rsidRPr="003902EE" w:rsidRDefault="003902EE" w:rsidP="003902EE">
      <w:r>
        <w:t>Sono riportate in tutti i fogli e sono necessarie a identificare l’azienda, quali</w:t>
      </w:r>
      <w:r w:rsidR="00C212EB">
        <w:t>:</w:t>
      </w:r>
      <w:r>
        <w:t xml:space="preserve"> nome completo dell’azienda, l’indirizzo e la sede, il periodo </w:t>
      </w:r>
      <w:r w:rsidR="005833B9">
        <w:t xml:space="preserve">contabile </w:t>
      </w:r>
      <w:r>
        <w:t>di inizio e di fine da considerare per la contabilità.</w:t>
      </w:r>
    </w:p>
    <w:p w14:paraId="59F1DEA7" w14:textId="36AA1443" w:rsidR="005D2ABE" w:rsidRPr="005D2ABE" w:rsidRDefault="005D2ABE" w:rsidP="005D2ABE">
      <w:pPr>
        <w:pStyle w:val="Titolo4"/>
      </w:pPr>
      <w:r>
        <w:t xml:space="preserve">Financial </w:t>
      </w:r>
      <w:r w:rsidR="00DA0853">
        <w:t>Statement</w:t>
      </w:r>
      <w:r>
        <w:t>;</w:t>
      </w:r>
    </w:p>
    <w:p w14:paraId="7ECF0233" w14:textId="77777777" w:rsidR="00C30336" w:rsidRDefault="00F05B05" w:rsidP="00C30336">
      <w:r>
        <w:t>Nel Financial Statement sono contenute tutte le voci di conto relativ</w:t>
      </w:r>
      <w:r w:rsidR="004C64DC">
        <w:t>e</w:t>
      </w:r>
      <w:r>
        <w:t xml:space="preserve"> alle posizioni correnti e non correnti dell’attività aziendale per gli anni 2023 e 2024. In questa parte, è </w:t>
      </w:r>
      <w:r w:rsidR="00D71B61">
        <w:t>richiesto che</w:t>
      </w:r>
      <w:r>
        <w:t xml:space="preserve"> si </w:t>
      </w:r>
      <w:r>
        <w:lastRenderedPageBreak/>
        <w:t xml:space="preserve">inseriscano </w:t>
      </w:r>
      <w:r w:rsidR="00D71B61">
        <w:t xml:space="preserve">gli importi </w:t>
      </w:r>
      <w:r>
        <w:t xml:space="preserve">di bilancio richiesti </w:t>
      </w:r>
      <w:r w:rsidR="004C64DC">
        <w:t>n</w:t>
      </w:r>
      <w:r>
        <w:t>ei conti specifici.</w:t>
      </w:r>
      <w:r w:rsidR="00D71B61">
        <w:t xml:space="preserve"> </w:t>
      </w:r>
      <w:r w:rsidR="00C30336">
        <w:t>I totali e sotto totali vengono calcolati automaticamente dalle formule.</w:t>
      </w:r>
    </w:p>
    <w:p w14:paraId="22E5E032" w14:textId="2A631E44" w:rsidR="00782D63" w:rsidRDefault="00D71B61" w:rsidP="00D71B61">
      <w:r>
        <w:t xml:space="preserve">Bisogna inoltre, osservare che per alcuni conti è obbligatorio compilare </w:t>
      </w:r>
      <w:r w:rsidR="00F05B05">
        <w:t xml:space="preserve">le Note, </w:t>
      </w:r>
      <w:r>
        <w:t>per fare</w:t>
      </w:r>
      <w:r w:rsidR="006574FA">
        <w:t xml:space="preserve"> ciò,</w:t>
      </w:r>
      <w:r>
        <w:t xml:space="preserve"> si inseriscono gli importi e altre note descrittive ne</w:t>
      </w:r>
      <w:r w:rsidR="00F05B05">
        <w:t>l foglio “Notes of Finacial Statement 24”.</w:t>
      </w:r>
    </w:p>
    <w:p w14:paraId="26023502" w14:textId="7AC89F8A" w:rsidR="001D5E95" w:rsidRDefault="006574FA" w:rsidP="00D71B61">
      <w:r>
        <w:t>Per le note, c’è anche la possibilità di consultare la documentazione, con specificata la pagina e la sezione dove trovare le informazioni relative alle note.</w:t>
      </w:r>
    </w:p>
    <w:p w14:paraId="1DE64CFC" w14:textId="5E657B8F" w:rsidR="006574FA" w:rsidRDefault="006574FA" w:rsidP="00D71B61">
      <w:r>
        <w:t>C’è un’ultima parte di controllo, per verificare se il totale degli attivi e dei passivi risultano essere uguali.</w:t>
      </w:r>
    </w:p>
    <w:p w14:paraId="5C23EF5D" w14:textId="0BD0536A" w:rsidR="006574FA" w:rsidRDefault="0065230A" w:rsidP="0065230A">
      <w:pPr>
        <w:pStyle w:val="Titolo4"/>
      </w:pPr>
      <w:r>
        <w:t xml:space="preserve">Income </w:t>
      </w:r>
      <w:r w:rsidR="00DA0853">
        <w:t>Statement</w:t>
      </w:r>
    </w:p>
    <w:p w14:paraId="0C238158" w14:textId="739FF984" w:rsidR="0065230A" w:rsidRDefault="008427C0" w:rsidP="0065230A">
      <w:r w:rsidRPr="008427C0">
        <w:t xml:space="preserve">L’Income </w:t>
      </w:r>
      <w:r w:rsidR="00DA0853" w:rsidRPr="008427C0">
        <w:t>Statement</w:t>
      </w:r>
      <w:r w:rsidRPr="008427C0">
        <w:t xml:space="preserve"> è presentato</w:t>
      </w:r>
      <w:r>
        <w:t xml:space="preserve"> secondo la classificazione</w:t>
      </w:r>
      <w:r w:rsidRPr="008427C0">
        <w:t xml:space="preserve"> “by nature of expense”</w:t>
      </w:r>
      <w:r>
        <w:t xml:space="preserve">. </w:t>
      </w:r>
      <w:r w:rsidR="00C10176">
        <w:t>Q</w:t>
      </w:r>
      <w:r>
        <w:t>uesta classificazione</w:t>
      </w:r>
      <w:r w:rsidR="00C10176">
        <w:t xml:space="preserve"> è un’aggregazione de</w:t>
      </w:r>
      <w:r>
        <w:t xml:space="preserve">i costi secondo la loro natura (esempio ammortamento, acquisti di materiali, costi di trasporto, stipendi, costi pubblicità, ecc.) e non sono ripartiti in base alla loro destinazione all’interno dell’impresa. </w:t>
      </w:r>
      <w:r w:rsidR="00C10176">
        <w:t xml:space="preserve">L’implementazione di tale classificazione </w:t>
      </w:r>
      <w:r>
        <w:t xml:space="preserve">è </w:t>
      </w:r>
      <w:r w:rsidR="00C10176">
        <w:t xml:space="preserve">stata decisa perché è </w:t>
      </w:r>
      <w:r>
        <w:t>semplice e di diffusa applicazione per le PMI. L’altra classificazione era secondo i costi per destinazione, dove si faceva distinzione i costi del venduto rispetto agli altri costi (esempio costi di distruzione o costi amministrativa), tale rappresentazione richiede un considerevole grado di discrezionalità da parte dell’utente finale.</w:t>
      </w:r>
    </w:p>
    <w:p w14:paraId="7AEA9E01" w14:textId="04120D97" w:rsidR="00C10176" w:rsidRPr="00C10176" w:rsidRDefault="00C10176" w:rsidP="0065230A">
      <w:r w:rsidRPr="00C10176">
        <w:t xml:space="preserve">Come precedentemente fatto per </w:t>
      </w:r>
      <w:r>
        <w:t>il Financial Statement, ci sono gli importi da inserire mentre i totali sono già calcolati mediante le formule applicate nei fogli.</w:t>
      </w:r>
    </w:p>
    <w:p w14:paraId="133A475E" w14:textId="5B3427E0" w:rsidR="00E534DB" w:rsidRDefault="00E534DB" w:rsidP="0065230A">
      <w:pPr>
        <w:rPr>
          <w:lang w:val="en-US"/>
        </w:rPr>
      </w:pPr>
      <w:r w:rsidRPr="00E534DB">
        <w:rPr>
          <w:lang w:val="en-US"/>
        </w:rPr>
        <w:t xml:space="preserve">Inoltre, </w:t>
      </w:r>
      <w:r>
        <w:rPr>
          <w:lang w:val="en-US"/>
        </w:rPr>
        <w:t xml:space="preserve">é stata fatta </w:t>
      </w:r>
      <w:r w:rsidRPr="00E534DB">
        <w:rPr>
          <w:lang w:val="en-US"/>
        </w:rPr>
        <w:t>un’ulteriore suddivisione per EBIT (</w:t>
      </w:r>
      <w:r w:rsidR="00031205" w:rsidRPr="00E534DB">
        <w:rPr>
          <w:lang w:val="en-US"/>
        </w:rPr>
        <w:t>earnings</w:t>
      </w:r>
      <w:r w:rsidRPr="00E534DB">
        <w:rPr>
          <w:lang w:val="en-US"/>
        </w:rPr>
        <w:t xml:space="preserve"> before interest and tax) e EBT (</w:t>
      </w:r>
      <w:r w:rsidR="00031205" w:rsidRPr="00E534DB">
        <w:rPr>
          <w:lang w:val="en-US"/>
        </w:rPr>
        <w:t>earn</w:t>
      </w:r>
      <w:r w:rsidR="00031205">
        <w:rPr>
          <w:lang w:val="en-US"/>
        </w:rPr>
        <w:t>ings</w:t>
      </w:r>
      <w:r>
        <w:rPr>
          <w:lang w:val="en-US"/>
        </w:rPr>
        <w:t xml:space="preserve"> before interest).</w:t>
      </w:r>
    </w:p>
    <w:p w14:paraId="7BE47C53" w14:textId="3655DDBE" w:rsidR="00E534DB" w:rsidRDefault="00446F1B" w:rsidP="00446F1B">
      <w:pPr>
        <w:pStyle w:val="Titolo4"/>
        <w:rPr>
          <w:lang w:val="en-US"/>
        </w:rPr>
      </w:pPr>
      <w:r w:rsidRPr="00446F1B">
        <w:rPr>
          <w:lang w:val="en-US"/>
        </w:rPr>
        <w:t>Statement of changes in equity</w:t>
      </w:r>
    </w:p>
    <w:p w14:paraId="32DE2CE9" w14:textId="560C97BD" w:rsidR="00E534DB" w:rsidRDefault="00965E0D" w:rsidP="0065230A">
      <w:r w:rsidRPr="00965E0D">
        <w:t xml:space="preserve">Lo </w:t>
      </w:r>
      <w:r w:rsidR="00B22C6C" w:rsidRPr="00965E0D">
        <w:t>Statement</w:t>
      </w:r>
      <w:r w:rsidRPr="00965E0D">
        <w:t xml:space="preserve"> of </w:t>
      </w:r>
      <w:r w:rsidR="00EC769D">
        <w:t>c</w:t>
      </w:r>
      <w:r w:rsidRPr="00965E0D">
        <w:t>hanges in equity riflette i cambiamenti e le variazion</w:t>
      </w:r>
      <w:r>
        <w:t>i di capitale proprio. Questa parte permette di approfondire e a dare trasparenza sulle decisioni e sull’effetto delle stesse sul valore di capitale proprio. Inoltre, è un utile strumento ad investitori e ad altri stakeholder comprendere come l’azienda abbia generato e utilizzato il capitale proprio.</w:t>
      </w:r>
    </w:p>
    <w:p w14:paraId="3B170FDC" w14:textId="5B65CC3A" w:rsidR="00965E0D" w:rsidRPr="00597881" w:rsidRDefault="004C08C0" w:rsidP="004C08C0">
      <w:pPr>
        <w:pStyle w:val="Titolo4"/>
        <w:rPr>
          <w:lang w:val="en-US"/>
        </w:rPr>
      </w:pPr>
      <w:r w:rsidRPr="00597881">
        <w:rPr>
          <w:lang w:val="en-US"/>
        </w:rPr>
        <w:t>Cash flow indirect</w:t>
      </w:r>
    </w:p>
    <w:p w14:paraId="46C25F61" w14:textId="3C714973" w:rsidR="004C08C0" w:rsidRPr="00597881" w:rsidRDefault="00B8075A" w:rsidP="004C08C0">
      <w:pPr>
        <w:rPr>
          <w:lang w:val="en-US"/>
        </w:rPr>
      </w:pPr>
      <w:r w:rsidRPr="00597881">
        <w:rPr>
          <w:lang w:val="en-US"/>
        </w:rPr>
        <w:t>Il cash flow è suddiviso in 4 parti:</w:t>
      </w:r>
    </w:p>
    <w:p w14:paraId="7C0D054C" w14:textId="6F771E68" w:rsidR="00B8075A" w:rsidRDefault="00B8075A" w:rsidP="00B8075A">
      <w:pPr>
        <w:pStyle w:val="Paragrafoelenco"/>
        <w:numPr>
          <w:ilvl w:val="0"/>
          <w:numId w:val="6"/>
        </w:numPr>
      </w:pPr>
      <w:r>
        <w:t>Cash flow da attività operative;</w:t>
      </w:r>
    </w:p>
    <w:p w14:paraId="0637B426" w14:textId="16400AC2" w:rsidR="00B8075A" w:rsidRDefault="00B8075A" w:rsidP="00B8075A">
      <w:pPr>
        <w:pStyle w:val="Paragrafoelenco"/>
        <w:numPr>
          <w:ilvl w:val="0"/>
          <w:numId w:val="6"/>
        </w:numPr>
      </w:pPr>
      <w:r>
        <w:t>Cash flow da attività finanziarie;</w:t>
      </w:r>
    </w:p>
    <w:p w14:paraId="612EF9DB" w14:textId="1068B8BE" w:rsidR="00B8075A" w:rsidRDefault="00B8075A" w:rsidP="00B8075A">
      <w:pPr>
        <w:pStyle w:val="Paragrafoelenco"/>
        <w:numPr>
          <w:ilvl w:val="0"/>
          <w:numId w:val="6"/>
        </w:numPr>
      </w:pPr>
      <w:r>
        <w:t>Cash flow da attività di investimento;</w:t>
      </w:r>
    </w:p>
    <w:p w14:paraId="104B8D10" w14:textId="2B001A87" w:rsidR="00B8075A" w:rsidRDefault="00B8075A" w:rsidP="00B8075A">
      <w:pPr>
        <w:pStyle w:val="Paragrafoelenco"/>
        <w:numPr>
          <w:ilvl w:val="0"/>
          <w:numId w:val="6"/>
        </w:numPr>
      </w:pPr>
      <w:r>
        <w:t>Cash flow netto.</w:t>
      </w:r>
    </w:p>
    <w:p w14:paraId="1E9D7E95" w14:textId="77777777" w:rsidR="00DE3292" w:rsidRPr="00B8075A" w:rsidRDefault="00DE3292" w:rsidP="00DE3292"/>
    <w:p w14:paraId="14B2B81C" w14:textId="583ACF76" w:rsidR="00445AB6" w:rsidRDefault="00445AB6" w:rsidP="00445AB6">
      <w:pPr>
        <w:pStyle w:val="Titolo4"/>
      </w:pPr>
      <w:r>
        <w:t>Obiettivi del file</w:t>
      </w:r>
    </w:p>
    <w:p w14:paraId="6317D67F" w14:textId="20D92420" w:rsidR="00ED27C2" w:rsidRDefault="00ED27C2" w:rsidP="00ED27C2">
      <w:r>
        <w:t>Reporting;</w:t>
      </w:r>
    </w:p>
    <w:p w14:paraId="013A0865" w14:textId="5DDAD9AA" w:rsidR="00ED27C2" w:rsidRDefault="00ED27C2" w:rsidP="00ED27C2">
      <w:r>
        <w:t>Rispettare gli standard IFRS;</w:t>
      </w:r>
    </w:p>
    <w:p w14:paraId="52E6E1B1" w14:textId="3D971F4D" w:rsidR="00ED27C2" w:rsidRDefault="0084413D" w:rsidP="00ED27C2">
      <w:r>
        <w:lastRenderedPageBreak/>
        <w:t>Quadro di riferimento all’andamento finanziario secondo IFRS;</w:t>
      </w:r>
    </w:p>
    <w:p w14:paraId="1CF73142" w14:textId="15A56815" w:rsidR="0084413D" w:rsidRPr="00ED27C2" w:rsidRDefault="0084413D" w:rsidP="00ED27C2"/>
    <w:sectPr w:rsidR="0084413D" w:rsidRPr="00ED27C2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FDE09" w14:textId="77777777" w:rsidR="0074406B" w:rsidRDefault="0074406B" w:rsidP="00F61DD5">
      <w:pPr>
        <w:spacing w:after="0" w:line="240" w:lineRule="auto"/>
      </w:pPr>
      <w:r>
        <w:separator/>
      </w:r>
    </w:p>
  </w:endnote>
  <w:endnote w:type="continuationSeparator" w:id="0">
    <w:p w14:paraId="7E1B8F45" w14:textId="77777777" w:rsidR="0074406B" w:rsidRDefault="0074406B" w:rsidP="00F61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50800835"/>
      <w:docPartObj>
        <w:docPartGallery w:val="Page Numbers (Bottom of Page)"/>
        <w:docPartUnique/>
      </w:docPartObj>
    </w:sdtPr>
    <w:sdtContent>
      <w:p w14:paraId="1B34BD98" w14:textId="19227E08" w:rsidR="00F61DD5" w:rsidRDefault="00F61DD5" w:rsidP="00F61DD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5D309" w14:textId="77777777" w:rsidR="0074406B" w:rsidRDefault="0074406B" w:rsidP="00F61DD5">
      <w:pPr>
        <w:spacing w:after="0" w:line="240" w:lineRule="auto"/>
      </w:pPr>
      <w:r>
        <w:separator/>
      </w:r>
    </w:p>
  </w:footnote>
  <w:footnote w:type="continuationSeparator" w:id="0">
    <w:p w14:paraId="3632B325" w14:textId="77777777" w:rsidR="0074406B" w:rsidRDefault="0074406B" w:rsidP="00F61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7704F" w14:textId="6B2D9011" w:rsidR="00F61DD5" w:rsidRPr="00F61DD5" w:rsidRDefault="00F61DD5">
    <w:pPr>
      <w:pStyle w:val="Intestazione"/>
      <w:rPr>
        <w:u w:val="single"/>
      </w:rPr>
    </w:pPr>
    <w:r w:rsidRPr="00F61DD5">
      <w:rPr>
        <w:u w:val="single"/>
      </w:rPr>
      <w:t>Ruben Bravi</w:t>
    </w:r>
    <w:r w:rsidRPr="00F61DD5">
      <w:rPr>
        <w:u w:val="single"/>
      </w:rPr>
      <w:tab/>
      <w:t>IFRS Model 06.2024</w:t>
    </w:r>
    <w:r w:rsidRPr="00F61DD5">
      <w:rPr>
        <w:u w:val="single"/>
      </w:rPr>
      <w:tab/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C129B"/>
    <w:multiLevelType w:val="multilevel"/>
    <w:tmpl w:val="15FA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A342E"/>
    <w:multiLevelType w:val="hybridMultilevel"/>
    <w:tmpl w:val="348EB3E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E2D17"/>
    <w:multiLevelType w:val="hybridMultilevel"/>
    <w:tmpl w:val="EDBCE3D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A78C1"/>
    <w:multiLevelType w:val="hybridMultilevel"/>
    <w:tmpl w:val="5EC63F72"/>
    <w:lvl w:ilvl="0" w:tplc="53F42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5409B"/>
    <w:multiLevelType w:val="hybridMultilevel"/>
    <w:tmpl w:val="65E6A9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A346B"/>
    <w:multiLevelType w:val="hybridMultilevel"/>
    <w:tmpl w:val="38A22ADA"/>
    <w:lvl w:ilvl="0" w:tplc="53F424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065AD"/>
    <w:multiLevelType w:val="hybridMultilevel"/>
    <w:tmpl w:val="348EB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27CF3"/>
    <w:multiLevelType w:val="hybridMultilevel"/>
    <w:tmpl w:val="B8BCAD5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75263">
    <w:abstractNumId w:val="7"/>
  </w:num>
  <w:num w:numId="2" w16cid:durableId="352583727">
    <w:abstractNumId w:val="3"/>
  </w:num>
  <w:num w:numId="3" w16cid:durableId="352000081">
    <w:abstractNumId w:val="1"/>
  </w:num>
  <w:num w:numId="4" w16cid:durableId="907493071">
    <w:abstractNumId w:val="5"/>
  </w:num>
  <w:num w:numId="5" w16cid:durableId="2030793991">
    <w:abstractNumId w:val="6"/>
  </w:num>
  <w:num w:numId="6" w16cid:durableId="1311012159">
    <w:abstractNumId w:val="4"/>
  </w:num>
  <w:num w:numId="7" w16cid:durableId="865941815">
    <w:abstractNumId w:val="0"/>
  </w:num>
  <w:num w:numId="8" w16cid:durableId="1215315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D5"/>
    <w:rsid w:val="00001E5B"/>
    <w:rsid w:val="00031205"/>
    <w:rsid w:val="000554BB"/>
    <w:rsid w:val="000914A8"/>
    <w:rsid w:val="000B1CCB"/>
    <w:rsid w:val="000D5441"/>
    <w:rsid w:val="000D73C1"/>
    <w:rsid w:val="000E0260"/>
    <w:rsid w:val="00163637"/>
    <w:rsid w:val="00175097"/>
    <w:rsid w:val="00182CF2"/>
    <w:rsid w:val="00184DEB"/>
    <w:rsid w:val="0019016F"/>
    <w:rsid w:val="001B3758"/>
    <w:rsid w:val="001C2E98"/>
    <w:rsid w:val="001D5E95"/>
    <w:rsid w:val="001E213C"/>
    <w:rsid w:val="001E2252"/>
    <w:rsid w:val="002032A4"/>
    <w:rsid w:val="00213F88"/>
    <w:rsid w:val="002222F0"/>
    <w:rsid w:val="002430CF"/>
    <w:rsid w:val="00251482"/>
    <w:rsid w:val="002A45FD"/>
    <w:rsid w:val="002A5B7E"/>
    <w:rsid w:val="002C1501"/>
    <w:rsid w:val="002D4557"/>
    <w:rsid w:val="002E1E7E"/>
    <w:rsid w:val="00324401"/>
    <w:rsid w:val="00340C9E"/>
    <w:rsid w:val="00354AA1"/>
    <w:rsid w:val="003738D0"/>
    <w:rsid w:val="003745EC"/>
    <w:rsid w:val="00377A00"/>
    <w:rsid w:val="003902EE"/>
    <w:rsid w:val="003915A8"/>
    <w:rsid w:val="00394F04"/>
    <w:rsid w:val="00397589"/>
    <w:rsid w:val="003A5C71"/>
    <w:rsid w:val="003B5C24"/>
    <w:rsid w:val="00400D13"/>
    <w:rsid w:val="00401DEF"/>
    <w:rsid w:val="0040449B"/>
    <w:rsid w:val="00425BCA"/>
    <w:rsid w:val="00444043"/>
    <w:rsid w:val="00445AB6"/>
    <w:rsid w:val="00446F1B"/>
    <w:rsid w:val="004554F9"/>
    <w:rsid w:val="004627E5"/>
    <w:rsid w:val="00475153"/>
    <w:rsid w:val="0048343A"/>
    <w:rsid w:val="00487B26"/>
    <w:rsid w:val="00492758"/>
    <w:rsid w:val="00497818"/>
    <w:rsid w:val="004C08C0"/>
    <w:rsid w:val="004C64DC"/>
    <w:rsid w:val="004D4ED1"/>
    <w:rsid w:val="004E77E8"/>
    <w:rsid w:val="0050016B"/>
    <w:rsid w:val="00502C91"/>
    <w:rsid w:val="0051454C"/>
    <w:rsid w:val="005223D7"/>
    <w:rsid w:val="00522DBB"/>
    <w:rsid w:val="00543E96"/>
    <w:rsid w:val="005513EC"/>
    <w:rsid w:val="005665E7"/>
    <w:rsid w:val="005833B9"/>
    <w:rsid w:val="00595B4C"/>
    <w:rsid w:val="00597881"/>
    <w:rsid w:val="005A7F6D"/>
    <w:rsid w:val="005D2ABE"/>
    <w:rsid w:val="006258E8"/>
    <w:rsid w:val="0064502A"/>
    <w:rsid w:val="00645F5F"/>
    <w:rsid w:val="00650845"/>
    <w:rsid w:val="0065230A"/>
    <w:rsid w:val="006574FA"/>
    <w:rsid w:val="00667702"/>
    <w:rsid w:val="00677C0A"/>
    <w:rsid w:val="00685702"/>
    <w:rsid w:val="00686525"/>
    <w:rsid w:val="006C1D3E"/>
    <w:rsid w:val="006D608E"/>
    <w:rsid w:val="006E1565"/>
    <w:rsid w:val="006F089E"/>
    <w:rsid w:val="006F52E4"/>
    <w:rsid w:val="0070060B"/>
    <w:rsid w:val="00722FC9"/>
    <w:rsid w:val="0074406B"/>
    <w:rsid w:val="00776AFD"/>
    <w:rsid w:val="00782D63"/>
    <w:rsid w:val="00785058"/>
    <w:rsid w:val="00796A62"/>
    <w:rsid w:val="007B021D"/>
    <w:rsid w:val="007B6650"/>
    <w:rsid w:val="008221A5"/>
    <w:rsid w:val="00823264"/>
    <w:rsid w:val="00824297"/>
    <w:rsid w:val="008427C0"/>
    <w:rsid w:val="0084413D"/>
    <w:rsid w:val="008835AF"/>
    <w:rsid w:val="00896C7B"/>
    <w:rsid w:val="008A7B47"/>
    <w:rsid w:val="008C1EDB"/>
    <w:rsid w:val="00926F63"/>
    <w:rsid w:val="009365B0"/>
    <w:rsid w:val="00960800"/>
    <w:rsid w:val="00964204"/>
    <w:rsid w:val="00965E0D"/>
    <w:rsid w:val="009950DE"/>
    <w:rsid w:val="0099714A"/>
    <w:rsid w:val="009A14CF"/>
    <w:rsid w:val="009A58F4"/>
    <w:rsid w:val="009D35C5"/>
    <w:rsid w:val="009D6E03"/>
    <w:rsid w:val="009E36A3"/>
    <w:rsid w:val="009F6944"/>
    <w:rsid w:val="009F7E1A"/>
    <w:rsid w:val="00A045FC"/>
    <w:rsid w:val="00A24D94"/>
    <w:rsid w:val="00A75BA6"/>
    <w:rsid w:val="00AA7990"/>
    <w:rsid w:val="00AE7124"/>
    <w:rsid w:val="00AF1472"/>
    <w:rsid w:val="00B11DE5"/>
    <w:rsid w:val="00B1352D"/>
    <w:rsid w:val="00B1629B"/>
    <w:rsid w:val="00B216CF"/>
    <w:rsid w:val="00B21DCD"/>
    <w:rsid w:val="00B22C6C"/>
    <w:rsid w:val="00B3294D"/>
    <w:rsid w:val="00B53BBC"/>
    <w:rsid w:val="00B55F03"/>
    <w:rsid w:val="00B721AF"/>
    <w:rsid w:val="00B7596C"/>
    <w:rsid w:val="00B8075A"/>
    <w:rsid w:val="00B80C22"/>
    <w:rsid w:val="00B832F0"/>
    <w:rsid w:val="00BA70E3"/>
    <w:rsid w:val="00BD2473"/>
    <w:rsid w:val="00C10176"/>
    <w:rsid w:val="00C17892"/>
    <w:rsid w:val="00C212EB"/>
    <w:rsid w:val="00C30336"/>
    <w:rsid w:val="00C55D18"/>
    <w:rsid w:val="00C57E7B"/>
    <w:rsid w:val="00C66DED"/>
    <w:rsid w:val="00C70BB5"/>
    <w:rsid w:val="00C84175"/>
    <w:rsid w:val="00C87708"/>
    <w:rsid w:val="00C95124"/>
    <w:rsid w:val="00CB355E"/>
    <w:rsid w:val="00CE07DB"/>
    <w:rsid w:val="00D22413"/>
    <w:rsid w:val="00D60316"/>
    <w:rsid w:val="00D71B61"/>
    <w:rsid w:val="00DA0853"/>
    <w:rsid w:val="00DB064D"/>
    <w:rsid w:val="00DB4DEB"/>
    <w:rsid w:val="00DE13C5"/>
    <w:rsid w:val="00DE3292"/>
    <w:rsid w:val="00E17FF8"/>
    <w:rsid w:val="00E23533"/>
    <w:rsid w:val="00E35758"/>
    <w:rsid w:val="00E534DB"/>
    <w:rsid w:val="00E569F1"/>
    <w:rsid w:val="00E74913"/>
    <w:rsid w:val="00E83CEC"/>
    <w:rsid w:val="00E85B37"/>
    <w:rsid w:val="00E905DB"/>
    <w:rsid w:val="00EA2593"/>
    <w:rsid w:val="00EA3F73"/>
    <w:rsid w:val="00EB2CFB"/>
    <w:rsid w:val="00EB7EC4"/>
    <w:rsid w:val="00EC73C5"/>
    <w:rsid w:val="00EC769D"/>
    <w:rsid w:val="00ED27C2"/>
    <w:rsid w:val="00F05B05"/>
    <w:rsid w:val="00F210E3"/>
    <w:rsid w:val="00F25D12"/>
    <w:rsid w:val="00F3043C"/>
    <w:rsid w:val="00F44BD6"/>
    <w:rsid w:val="00F47A38"/>
    <w:rsid w:val="00F51B0A"/>
    <w:rsid w:val="00F55692"/>
    <w:rsid w:val="00F61DD5"/>
    <w:rsid w:val="00F709FD"/>
    <w:rsid w:val="00FA126A"/>
    <w:rsid w:val="00FA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84634F2"/>
  <w15:chartTrackingRefBased/>
  <w15:docId w15:val="{319C1AB6-9859-48FE-9915-0AE96C68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61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61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1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61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61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61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61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61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61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61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61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1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61DD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61DD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61DD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61DD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61DD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61DD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61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6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61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61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61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61DD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61DD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61DD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61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61DD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61DD5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61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1DD5"/>
  </w:style>
  <w:style w:type="paragraph" w:styleId="Pidipagina">
    <w:name w:val="footer"/>
    <w:basedOn w:val="Normale"/>
    <w:link w:val="PidipaginaCarattere"/>
    <w:uiPriority w:val="99"/>
    <w:unhideWhenUsed/>
    <w:rsid w:val="00F61D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1DD5"/>
  </w:style>
  <w:style w:type="character" w:styleId="Collegamentoipertestuale">
    <w:name w:val="Hyperlink"/>
    <w:basedOn w:val="Carpredefinitoparagrafo"/>
    <w:uiPriority w:val="99"/>
    <w:unhideWhenUsed/>
    <w:rsid w:val="002D455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D4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9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ec.europa.eu/capital-markets-union-and-financial-markets/company-reporting-and-auditing/company-reporting/financial-reporting_en?prefLang=it&amp;etrans=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frs.org/groups/international-accounting-standards-boar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ondazionenazionalecommercialisti.it/system/files/imce/aree-tematiche/pac/PCI_Schemi%20di%20bilancio_Iannucci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7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Bravi</dc:creator>
  <cp:keywords/>
  <dc:description/>
  <cp:lastModifiedBy>Ruben Bravi</cp:lastModifiedBy>
  <cp:revision>44</cp:revision>
  <dcterms:created xsi:type="dcterms:W3CDTF">2024-06-20T07:11:00Z</dcterms:created>
  <dcterms:modified xsi:type="dcterms:W3CDTF">2024-06-21T10:50:00Z</dcterms:modified>
</cp:coreProperties>
</file>