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8D" w:rsidRPr="004971AE" w:rsidRDefault="00077A8D" w:rsidP="00B67FCF">
      <w:pPr>
        <w:pStyle w:val="Heading1"/>
      </w:pPr>
      <w:r w:rsidRPr="004971AE">
        <w:t>Glossary</w:t>
      </w:r>
    </w:p>
    <w:p w:rsidR="00077A8D" w:rsidRDefault="00077A8D" w:rsidP="00B67FCF">
      <w:pPr>
        <w:pStyle w:val="Heading2"/>
      </w:pPr>
      <w:bookmarkStart w:id="0" w:name="_Toc371468550"/>
      <w:r w:rsidRPr="004971AE">
        <w:t>Compute or Graphic Memory Allocated Object</w:t>
      </w:r>
      <w:bookmarkEnd w:id="0"/>
    </w:p>
    <w:p w:rsidR="00077A8D" w:rsidRPr="004971AE" w:rsidRDefault="00077A8D" w:rsidP="00867DE2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bookmarkStart w:id="1" w:name="_topic_Tutorials"/>
      <w:bookmarkEnd w:id="1"/>
      <w:r w:rsidRPr="004971AE">
        <w:rPr>
          <w:rFonts w:cs="Verdana"/>
          <w:color w:val="000000"/>
        </w:rPr>
        <w:t xml:space="preserve">A compute or graphic memory allocated object is an OpenCL or OpenGL object created by a computer application, which </w:t>
      </w:r>
      <w:r>
        <w:rPr>
          <w:rFonts w:cs="Verdana"/>
          <w:color w:val="000000"/>
        </w:rPr>
        <w:t>is allocated</w:t>
      </w:r>
      <w:r w:rsidRPr="004971AE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 xml:space="preserve">on the memory of the </w:t>
      </w:r>
      <w:r w:rsidRPr="004971AE">
        <w:rPr>
          <w:rFonts w:cs="Verdana"/>
          <w:color w:val="000000"/>
        </w:rPr>
        <w:t>OpenCL or OpenGL device.</w:t>
      </w:r>
    </w:p>
    <w:p w:rsidR="00077A8D" w:rsidRPr="004971AE" w:rsidRDefault="00077A8D" w:rsidP="00936E93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4971AE">
        <w:rPr>
          <w:rFonts w:cs="Verdana"/>
          <w:color w:val="000000"/>
        </w:rPr>
        <w:t xml:space="preserve">An allocated object can reside in the computer's main memory (as part of the driver's used virtual memory), in the device's internal memory, or in both. In multi-device OpenCL contexts and multi-renderer OpenGL contexts, an object's data can even reside in multiple devices at the same time. </w:t>
      </w:r>
      <w:r>
        <w:rPr>
          <w:rFonts w:cs="Verdana"/>
          <w:color w:val="000000"/>
        </w:rPr>
        <w:t>CodeXL currently supports t</w:t>
      </w:r>
      <w:r w:rsidRPr="004971AE">
        <w:rPr>
          <w:rFonts w:cs="Verdana"/>
          <w:color w:val="000000"/>
        </w:rPr>
        <w:t>he f</w:t>
      </w:r>
      <w:r>
        <w:rPr>
          <w:rFonts w:cs="Verdana"/>
          <w:color w:val="000000"/>
        </w:rPr>
        <w:t>ollowing allocated object types.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OpenCL compute contexts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OpenCL command queues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OpenCL command events*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OpenCL Image objects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OpenCL buffer objects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OpenCL computation programs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OpenCL kernel objects*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OpenCL sampler objects*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render contexts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render contexts' static buffers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texture objects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render buffers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framebuffer objects (FBOs)*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vertex buffer objects (VBOs)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shading programs*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shaders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display lists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OpenGL pixel buffer objects (PBuffers)*</w:t>
      </w:r>
    </w:p>
    <w:p w:rsidR="00077A8D" w:rsidRDefault="00077A8D" w:rsidP="00936E93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>
        <w:rPr>
          <w:rFonts w:cs="Verdana"/>
          <w:color w:val="000000"/>
        </w:rPr>
        <w:t>The</w:t>
      </w:r>
      <w:r w:rsidRPr="004971AE">
        <w:rPr>
          <w:rFonts w:cs="Verdana"/>
          <w:color w:val="000000"/>
        </w:rPr>
        <w:t xml:space="preserve"> memory consumption</w:t>
      </w:r>
      <w:r>
        <w:rPr>
          <w:rFonts w:cs="Verdana"/>
          <w:color w:val="000000"/>
        </w:rPr>
        <w:t xml:space="preserve"> of these objects</w:t>
      </w:r>
      <w:r w:rsidRPr="004971AE">
        <w:rPr>
          <w:rFonts w:cs="Verdana"/>
          <w:color w:val="000000"/>
        </w:rPr>
        <w:t xml:space="preserve"> is insignificant, but their creation and deletion is still monitored by CodeXL. </w:t>
      </w:r>
    </w:p>
    <w:p w:rsidR="00077A8D" w:rsidRPr="004971AE" w:rsidRDefault="00077A8D" w:rsidP="00936E93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4971AE">
        <w:rPr>
          <w:rFonts w:cs="Verdana"/>
          <w:b/>
          <w:bCs/>
          <w:color w:val="000000"/>
        </w:rPr>
        <w:t>Function Types:</w:t>
      </w:r>
      <w:r w:rsidRPr="004971AE">
        <w:rPr>
          <w:rFonts w:cs="Verdana"/>
          <w:color w:val="000000"/>
        </w:rPr>
        <w:t xml:space="preserve"> OpenCL </w:t>
      </w:r>
      <w:r>
        <w:rPr>
          <w:rFonts w:cs="Verdana"/>
          <w:color w:val="000000"/>
        </w:rPr>
        <w:t xml:space="preserve">functions can be divided into </w:t>
      </w:r>
      <w:r w:rsidRPr="004971AE">
        <w:rPr>
          <w:rFonts w:cs="Verdana"/>
          <w:color w:val="000000"/>
        </w:rPr>
        <w:t xml:space="preserve">groups by their effect on the OpenCL implementation or </w:t>
      </w:r>
      <w:r>
        <w:rPr>
          <w:rFonts w:cs="Verdana"/>
          <w:color w:val="000000"/>
        </w:rPr>
        <w:t xml:space="preserve">by </w:t>
      </w:r>
      <w:r w:rsidRPr="004971AE">
        <w:rPr>
          <w:rFonts w:cs="Verdana"/>
          <w:color w:val="000000"/>
        </w:rPr>
        <w:t xml:space="preserve">their </w:t>
      </w:r>
      <w:r>
        <w:rPr>
          <w:rFonts w:cs="Verdana"/>
          <w:color w:val="000000"/>
        </w:rPr>
        <w:t>outputs</w:t>
      </w:r>
      <w:r w:rsidRPr="004971AE">
        <w:rPr>
          <w:rFonts w:cs="Verdana"/>
          <w:color w:val="000000"/>
        </w:rPr>
        <w:t>. Note that an OpenCL function can belong to more than one of these groups</w:t>
      </w:r>
      <w:r>
        <w:rPr>
          <w:rFonts w:cs="Verdana"/>
          <w:color w:val="000000"/>
        </w:rPr>
        <w:t>,</w:t>
      </w:r>
      <w:r w:rsidRPr="004971AE">
        <w:rPr>
          <w:rFonts w:cs="Verdana"/>
          <w:color w:val="000000"/>
        </w:rPr>
        <w:t xml:space="preserve"> or to none at all: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Get Functions retrieve information from the OpenCL ICD.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Buffer and Image Functions are functions related to buffer and image objects.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Program and Kernel Functions are related to computation programs and kernels.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Queue Functions are related to command queue objects.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Synchronization Functions perform synchronization operations.</w:t>
      </w:r>
    </w:p>
    <w:p w:rsidR="00077A8D" w:rsidRPr="004971AE" w:rsidRDefault="00077A8D" w:rsidP="00936E93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4971AE">
        <w:rPr>
          <w:rFonts w:cs="Verdana"/>
          <w:color w:val="000000"/>
        </w:rPr>
        <w:t xml:space="preserve">OpenGL functions can be </w:t>
      </w:r>
      <w:r>
        <w:rPr>
          <w:rFonts w:cs="Verdana"/>
          <w:color w:val="000000"/>
        </w:rPr>
        <w:t>grouped</w:t>
      </w:r>
      <w:r w:rsidRPr="004971AE">
        <w:rPr>
          <w:rFonts w:cs="Verdana"/>
          <w:color w:val="000000"/>
        </w:rPr>
        <w:t xml:space="preserve"> by their effect on the OpenGL implementation or </w:t>
      </w:r>
      <w:r>
        <w:rPr>
          <w:rFonts w:cs="Verdana"/>
          <w:color w:val="000000"/>
        </w:rPr>
        <w:t xml:space="preserve">by </w:t>
      </w:r>
      <w:r w:rsidRPr="004971AE">
        <w:rPr>
          <w:rFonts w:cs="Verdana"/>
          <w:color w:val="000000"/>
        </w:rPr>
        <w:t xml:space="preserve">their </w:t>
      </w:r>
      <w:r>
        <w:rPr>
          <w:rFonts w:cs="Verdana"/>
          <w:color w:val="000000"/>
        </w:rPr>
        <w:t>outputs</w:t>
      </w:r>
      <w:r w:rsidRPr="004971AE">
        <w:rPr>
          <w:rFonts w:cs="Verdana"/>
          <w:color w:val="000000"/>
        </w:rPr>
        <w:t>. Note that an OpenGL function can belong to more than one of these groups</w:t>
      </w:r>
      <w:r>
        <w:rPr>
          <w:rFonts w:cs="Verdana"/>
          <w:color w:val="000000"/>
        </w:rPr>
        <w:t>,</w:t>
      </w:r>
      <w:r w:rsidRPr="004971AE">
        <w:rPr>
          <w:rFonts w:cs="Verdana"/>
          <w:color w:val="000000"/>
        </w:rPr>
        <w:t xml:space="preserve"> or to none at all: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Get Functions retrieve information from the OpenGL driver.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State Change Functions change the values of OpenGL State Variables.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 xml:space="preserve">Draw Functions </w:t>
      </w:r>
      <w:r>
        <w:rPr>
          <w:rFonts w:cs="Verdana"/>
          <w:color w:val="000000"/>
        </w:rPr>
        <w:t>can</w:t>
      </w:r>
      <w:r w:rsidRPr="00A35496">
        <w:rPr>
          <w:rFonts w:cs="Verdana"/>
          <w:color w:val="000000"/>
        </w:rPr>
        <w:t xml:space="preserve"> have </w:t>
      </w:r>
      <w:r>
        <w:rPr>
          <w:rFonts w:cs="Verdana"/>
          <w:color w:val="000000"/>
        </w:rPr>
        <w:t xml:space="preserve">a </w:t>
      </w:r>
      <w:r w:rsidRPr="00A35496">
        <w:rPr>
          <w:rFonts w:cs="Verdana"/>
          <w:color w:val="000000"/>
        </w:rPr>
        <w:t>visible effect on the draw buffer.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Raster Functions copy pixels from or to frame buffers.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Programs and Shaders Functions are related to shaders and shading programs.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Texture Functions create, delete</w:t>
      </w:r>
      <w:r>
        <w:rPr>
          <w:rFonts w:cs="Verdana"/>
          <w:color w:val="000000"/>
        </w:rPr>
        <w:t>,</w:t>
      </w:r>
      <w:r w:rsidRPr="00A35496">
        <w:rPr>
          <w:rFonts w:cs="Verdana"/>
          <w:color w:val="000000"/>
        </w:rPr>
        <w:t xml:space="preserve"> or manipulate textures.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Matrix Functions are related to the matrix stacks (modelview matrix, projection matrix, color matrix</w:t>
      </w:r>
      <w:r>
        <w:rPr>
          <w:rFonts w:cs="Verdana"/>
          <w:color w:val="000000"/>
        </w:rPr>
        <w:t>,</w:t>
      </w:r>
      <w:r w:rsidRPr="00A35496">
        <w:rPr>
          <w:rFonts w:cs="Verdana"/>
          <w:color w:val="000000"/>
        </w:rPr>
        <w:t xml:space="preserve"> etc.).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 xml:space="preserve">Name Functions are related to </w:t>
      </w:r>
      <w:r>
        <w:rPr>
          <w:rFonts w:cs="Verdana"/>
          <w:color w:val="000000"/>
        </w:rPr>
        <w:t xml:space="preserve">the </w:t>
      </w:r>
      <w:r w:rsidRPr="00A35496">
        <w:rPr>
          <w:rFonts w:cs="Verdana"/>
          <w:color w:val="000000"/>
        </w:rPr>
        <w:t>OpenGL selection mode.</w:t>
      </w:r>
    </w:p>
    <w:p w:rsidR="00077A8D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 xml:space="preserve">Query Functions are </w:t>
      </w:r>
      <w:r>
        <w:rPr>
          <w:rFonts w:cs="Verdana"/>
          <w:color w:val="000000"/>
        </w:rPr>
        <w:t xml:space="preserve">related to OpenGL query items. </w:t>
      </w:r>
    </w:p>
    <w:p w:rsidR="00077A8D" w:rsidRPr="00A35496" w:rsidRDefault="00077A8D" w:rsidP="00077A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Verdana"/>
          <w:color w:val="000000"/>
        </w:rPr>
      </w:pPr>
      <w:r w:rsidRPr="00A35496">
        <w:rPr>
          <w:rFonts w:cs="Verdana"/>
          <w:color w:val="000000"/>
        </w:rPr>
        <w:t>Buffer Functions are related to OpenGL buffer objects.</w:t>
      </w:r>
    </w:p>
    <w:p w:rsidR="00077A8D" w:rsidRDefault="00077A8D" w:rsidP="00936E93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4971AE">
        <w:rPr>
          <w:rFonts w:cs="Verdana"/>
          <w:color w:val="000000"/>
        </w:rPr>
        <w:t xml:space="preserve">To find out what groups a given function belongs to, look for its entry in the Function Calls Statistics tab (in the CodeXL </w:t>
      </w:r>
      <w:r>
        <w:rPr>
          <w:rFonts w:cs="Verdana"/>
          <w:color w:val="000000"/>
        </w:rPr>
        <w:t>Statistics view).</w:t>
      </w:r>
      <w:r w:rsidRPr="004971AE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T</w:t>
      </w:r>
      <w:r w:rsidRPr="004971AE">
        <w:rPr>
          <w:rFonts w:cs="Verdana"/>
          <w:color w:val="000000"/>
        </w:rPr>
        <w:t xml:space="preserve">he information is displayed under the "Function Type" column. The Statistics view's Function Types Statistics tab </w:t>
      </w:r>
      <w:r>
        <w:rPr>
          <w:rFonts w:cs="Verdana"/>
          <w:color w:val="000000"/>
        </w:rPr>
        <w:t>shows</w:t>
      </w:r>
      <w:r w:rsidRPr="004971AE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details</w:t>
      </w:r>
      <w:r w:rsidRPr="004971AE">
        <w:rPr>
          <w:rFonts w:cs="Verdana"/>
          <w:color w:val="000000"/>
        </w:rPr>
        <w:t xml:space="preserve"> of your API usage by these groups</w:t>
      </w:r>
      <w:r>
        <w:rPr>
          <w:rFonts w:cs="Verdana"/>
          <w:color w:val="000000"/>
        </w:rPr>
        <w:t>,</w:t>
      </w:r>
      <w:r w:rsidRPr="004971AE">
        <w:rPr>
          <w:rFonts w:cs="Verdana"/>
          <w:color w:val="000000"/>
        </w:rPr>
        <w:t xml:space="preserve"> as well as more detailed information about </w:t>
      </w:r>
      <w:r>
        <w:rPr>
          <w:rFonts w:cs="Verdana"/>
          <w:color w:val="000000"/>
        </w:rPr>
        <w:t xml:space="preserve">the use of </w:t>
      </w:r>
      <w:r w:rsidRPr="004971AE">
        <w:rPr>
          <w:rFonts w:cs="Verdana"/>
          <w:color w:val="000000"/>
        </w:rPr>
        <w:t xml:space="preserve">each </w:t>
      </w:r>
      <w:r>
        <w:rPr>
          <w:rFonts w:cs="Verdana"/>
          <w:color w:val="000000"/>
        </w:rPr>
        <w:t xml:space="preserve">function </w:t>
      </w:r>
      <w:r w:rsidRPr="004971AE">
        <w:rPr>
          <w:rFonts w:cs="Verdana"/>
          <w:color w:val="000000"/>
        </w:rPr>
        <w:t>type.</w:t>
      </w:r>
      <w:r>
        <w:rPr>
          <w:rFonts w:cs="Verdana"/>
          <w:color w:val="000000"/>
        </w:rPr>
        <w:t xml:space="preserve"> </w:t>
      </w:r>
    </w:p>
    <w:p w:rsidR="00077A8D" w:rsidRPr="004971AE" w:rsidRDefault="00077A8D" w:rsidP="00936E93">
      <w:pPr>
        <w:pStyle w:val="Heading2"/>
      </w:pPr>
      <w:bookmarkStart w:id="2" w:name="_Toc371315488"/>
      <w:bookmarkStart w:id="3" w:name="_Toc371468551"/>
      <w:bookmarkStart w:id="4" w:name="_Ref371526511"/>
      <w:bookmarkStart w:id="5" w:name="_Ref371526541"/>
      <w:r>
        <w:t>Frames and Frame Terminators</w:t>
      </w:r>
      <w:bookmarkEnd w:id="2"/>
      <w:bookmarkEnd w:id="3"/>
      <w:bookmarkEnd w:id="4"/>
      <w:bookmarkEnd w:id="5"/>
    </w:p>
    <w:p w:rsidR="00077A8D" w:rsidRPr="004971AE" w:rsidRDefault="00077A8D" w:rsidP="00936E93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4971AE">
        <w:rPr>
          <w:rFonts w:cs="Verdana"/>
          <w:b/>
          <w:bCs/>
          <w:color w:val="000000"/>
        </w:rPr>
        <w:t>Computation Frame:</w:t>
      </w:r>
      <w:r w:rsidRPr="004971AE">
        <w:rPr>
          <w:rFonts w:cs="Verdana"/>
          <w:color w:val="000000"/>
        </w:rPr>
        <w:t xml:space="preserve"> A computation frame is a set of OpenCL API calls, typically the largest set of calls an OpenCL compute context performs </w:t>
      </w:r>
      <w:r>
        <w:rPr>
          <w:rFonts w:cs="Verdana"/>
          <w:color w:val="000000"/>
        </w:rPr>
        <w:t>that</w:t>
      </w:r>
      <w:r w:rsidRPr="004971AE">
        <w:rPr>
          <w:rFonts w:cs="Verdana"/>
          <w:color w:val="000000"/>
        </w:rPr>
        <w:t xml:space="preserve"> can be considered a single logical operation. A computation frame is comparable to a render frame in a graphics engine. It is recommended for applications rendering graphics to define the computation frame as the set of commands used to calculate the data for a single render frame. Having a notion and boundary of what comprises a frame </w:t>
      </w:r>
      <w:r>
        <w:rPr>
          <w:rFonts w:cs="Verdana"/>
          <w:color w:val="000000"/>
        </w:rPr>
        <w:t>permits</w:t>
      </w:r>
      <w:r w:rsidRPr="004971AE">
        <w:rPr>
          <w:rFonts w:cs="Verdana"/>
          <w:color w:val="000000"/>
        </w:rPr>
        <w:t xml:space="preserve"> measurements such as frame times and frame rates</w:t>
      </w:r>
      <w:r>
        <w:rPr>
          <w:rFonts w:cs="Verdana"/>
          <w:color w:val="000000"/>
        </w:rPr>
        <w:t>,</w:t>
      </w:r>
      <w:r w:rsidRPr="004971AE">
        <w:rPr>
          <w:rFonts w:cs="Verdana"/>
          <w:color w:val="000000"/>
        </w:rPr>
        <w:t xml:space="preserve"> as well as API call statistics, which are useful in debugging and profiling.</w:t>
      </w:r>
      <w:r>
        <w:rPr>
          <w:rFonts w:cs="Verdana"/>
          <w:color w:val="000000"/>
        </w:rPr>
        <w:t xml:space="preserve"> </w:t>
      </w:r>
    </w:p>
    <w:p w:rsidR="00077A8D" w:rsidRDefault="00077A8D" w:rsidP="00936E93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4971AE">
        <w:rPr>
          <w:rFonts w:cs="Verdana"/>
          <w:b/>
          <w:bCs/>
          <w:color w:val="000000"/>
        </w:rPr>
        <w:t>Frame Terminator:</w:t>
      </w:r>
      <w:r w:rsidRPr="004971AE">
        <w:rPr>
          <w:rFonts w:cs="Verdana"/>
          <w:color w:val="000000"/>
        </w:rPr>
        <w:t xml:space="preserve"> Frame terminators are the functions that end your application computation and render frames. CodeXL u</w:t>
      </w:r>
      <w:r>
        <w:rPr>
          <w:rFonts w:cs="Verdana"/>
          <w:color w:val="000000"/>
        </w:rPr>
        <w:t>ses frame terminators for frame-per-</w:t>
      </w:r>
      <w:r w:rsidRPr="004971AE">
        <w:rPr>
          <w:rFonts w:cs="Verdana"/>
          <w:color w:val="000000"/>
        </w:rPr>
        <w:t>second</w:t>
      </w:r>
      <w:r>
        <w:rPr>
          <w:rFonts w:cs="Verdana"/>
          <w:color w:val="000000"/>
        </w:rPr>
        <w:t xml:space="preserve"> calculations</w:t>
      </w:r>
      <w:r w:rsidRPr="004971AE">
        <w:rPr>
          <w:rFonts w:cs="Verdana"/>
          <w:color w:val="000000"/>
        </w:rPr>
        <w:t>, statistics analysis</w:t>
      </w:r>
      <w:r>
        <w:rPr>
          <w:rFonts w:cs="Verdana"/>
          <w:color w:val="000000"/>
        </w:rPr>
        <w:t>,</w:t>
      </w:r>
      <w:r w:rsidRPr="004971AE">
        <w:rPr>
          <w:rFonts w:cs="Verdana"/>
          <w:color w:val="000000"/>
        </w:rPr>
        <w:t xml:space="preserve"> and other measurements, as well as for determining when to stop the execution </w:t>
      </w:r>
      <w:r>
        <w:rPr>
          <w:rFonts w:cs="Verdana"/>
          <w:color w:val="000000"/>
        </w:rPr>
        <w:t>after</w:t>
      </w:r>
      <w:r w:rsidRPr="004971AE">
        <w:rPr>
          <w:rFonts w:cs="Verdana"/>
          <w:color w:val="000000"/>
        </w:rPr>
        <w:t xml:space="preserve"> you press the Step Out button (Shift+F11). When choosing frame ter</w:t>
      </w:r>
      <w:r>
        <w:rPr>
          <w:rFonts w:cs="Verdana"/>
          <w:color w:val="000000"/>
        </w:rPr>
        <w:t>minators for your project, en</w:t>
      </w:r>
      <w:r w:rsidRPr="004971AE">
        <w:rPr>
          <w:rFonts w:cs="Verdana"/>
          <w:color w:val="000000"/>
        </w:rPr>
        <w:t xml:space="preserve">sure </w:t>
      </w:r>
      <w:r>
        <w:rPr>
          <w:rFonts w:cs="Verdana"/>
          <w:color w:val="000000"/>
        </w:rPr>
        <w:t xml:space="preserve">that </w:t>
      </w:r>
      <w:r w:rsidRPr="004971AE">
        <w:rPr>
          <w:rFonts w:cs="Verdana"/>
          <w:color w:val="000000"/>
        </w:rPr>
        <w:t xml:space="preserve">at least one of the functions you choose is called </w:t>
      </w:r>
      <w:r>
        <w:rPr>
          <w:rFonts w:cs="Verdana"/>
          <w:color w:val="000000"/>
        </w:rPr>
        <w:t xml:space="preserve">for </w:t>
      </w:r>
      <w:r w:rsidRPr="004971AE">
        <w:rPr>
          <w:rFonts w:cs="Verdana"/>
          <w:color w:val="000000"/>
        </w:rPr>
        <w:t>each frame you render. If you are using the OpenGL debug engine, you must select at least one render (OpenGL) frame terminator. A typical selection of Frame Terminators is clFinish for OpenCL and the SwapBuffers option for OpenGL.</w:t>
      </w:r>
    </w:p>
    <w:p w:rsidR="00077A8D" w:rsidRDefault="00077A8D" w:rsidP="00936E93">
      <w:pPr>
        <w:pStyle w:val="Heading2"/>
      </w:pPr>
      <w:bookmarkStart w:id="6" w:name="_Toc371315489"/>
      <w:bookmarkStart w:id="7" w:name="_Toc371468552"/>
      <w:r w:rsidRPr="004971AE">
        <w:t>Vertex Batch</w:t>
      </w:r>
      <w:bookmarkEnd w:id="6"/>
      <w:bookmarkEnd w:id="7"/>
    </w:p>
    <w:p w:rsidR="00077A8D" w:rsidRPr="004971AE" w:rsidRDefault="00077A8D" w:rsidP="00867DE2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4971AE">
        <w:rPr>
          <w:rFonts w:cs="Verdana"/>
          <w:b/>
          <w:bCs/>
          <w:color w:val="000000"/>
        </w:rPr>
        <w:t>Vertex Batch:</w:t>
      </w:r>
      <w:r w:rsidRPr="004971AE">
        <w:rPr>
          <w:rFonts w:cs="Verdana"/>
          <w:color w:val="000000"/>
        </w:rPr>
        <w:t xml:space="preserve"> A vertex batch is a group of vertices sent to the graphic driver </w:t>
      </w:r>
      <w:r>
        <w:rPr>
          <w:rFonts w:cs="Verdana"/>
          <w:color w:val="000000"/>
        </w:rPr>
        <w:t>in</w:t>
      </w:r>
      <w:r w:rsidRPr="004971AE">
        <w:rPr>
          <w:rFonts w:cs="Verdana"/>
          <w:color w:val="000000"/>
        </w:rPr>
        <w:t xml:space="preserve"> a single API call. In OpenGL, this effectively means the number of vertices sent to the graphic pipeline with a single function call. For example, the function glVertex3f always generates a 1-vertex batch, while glDrawElements creates a batch of </w:t>
      </w:r>
      <w:r>
        <w:rPr>
          <w:rFonts w:cs="Verdana"/>
          <w:color w:val="000000"/>
        </w:rPr>
        <w:t xml:space="preserve">the </w:t>
      </w:r>
      <w:r w:rsidRPr="004971AE">
        <w:rPr>
          <w:rFonts w:cs="Verdana"/>
          <w:color w:val="000000"/>
        </w:rPr>
        <w:t xml:space="preserve">size determined by its count parameter value. The number of vertex batches sent to the driver represents the </w:t>
      </w:r>
      <w:r w:rsidRPr="004971AE">
        <w:rPr>
          <w:rFonts w:cs="Verdana"/>
          <w:b/>
          <w:bCs/>
          <w:color w:val="000000"/>
        </w:rPr>
        <w:t>cost</w:t>
      </w:r>
      <w:r w:rsidRPr="004971AE">
        <w:rPr>
          <w:rFonts w:cs="Verdana"/>
          <w:color w:val="000000"/>
        </w:rPr>
        <w:t xml:space="preserve"> of drawing, while the batch size is the </w:t>
      </w:r>
      <w:r w:rsidRPr="004971AE">
        <w:rPr>
          <w:rFonts w:cs="Verdana"/>
          <w:b/>
          <w:bCs/>
          <w:color w:val="000000"/>
        </w:rPr>
        <w:t>benefit</w:t>
      </w:r>
      <w:r w:rsidRPr="004971AE">
        <w:rPr>
          <w:rFonts w:cs="Verdana"/>
          <w:color w:val="000000"/>
        </w:rPr>
        <w:t xml:space="preserve"> of each function call. Drawing 200 1-vertex batches has the same benefit </w:t>
      </w:r>
      <w:r>
        <w:rPr>
          <w:rFonts w:cs="Verdana"/>
          <w:color w:val="000000"/>
        </w:rPr>
        <w:t>as</w:t>
      </w:r>
      <w:r w:rsidRPr="004971AE">
        <w:rPr>
          <w:rFonts w:cs="Verdana"/>
          <w:color w:val="000000"/>
        </w:rPr>
        <w:t xml:space="preserve"> drawing a single 200-vertex batch, for 200 times the cost. For this reason, it is best to draw as many vertices using as few batches as possible.</w:t>
      </w:r>
    </w:p>
    <w:p w:rsidR="00077A8D" w:rsidRDefault="00077A8D" w:rsidP="00A51378">
      <w:pPr>
        <w:sectPr w:rsidR="00077A8D" w:rsidSect="00A51378">
          <w:type w:val="continuous"/>
          <w:pgSz w:w="23814" w:h="16839" w:orient="landscape" w:code="8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417CB8" w:rsidRDefault="00417CB8"/>
    <w:sectPr w:rsidR="0041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431"/>
    <w:multiLevelType w:val="hybridMultilevel"/>
    <w:tmpl w:val="6950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57F9F"/>
    <w:multiLevelType w:val="hybridMultilevel"/>
    <w:tmpl w:val="A556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C500A"/>
    <w:multiLevelType w:val="hybridMultilevel"/>
    <w:tmpl w:val="5E46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35BB2"/>
    <w:multiLevelType w:val="hybridMultilevel"/>
    <w:tmpl w:val="2E3C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33B2B"/>
    <w:multiLevelType w:val="hybridMultilevel"/>
    <w:tmpl w:val="33C4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14F27"/>
    <w:multiLevelType w:val="hybridMultilevel"/>
    <w:tmpl w:val="5E46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042F2"/>
    <w:multiLevelType w:val="hybridMultilevel"/>
    <w:tmpl w:val="E2B2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0357CB"/>
    <w:multiLevelType w:val="hybridMultilevel"/>
    <w:tmpl w:val="BA06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40"/>
    <w:rsid w:val="00077A8D"/>
    <w:rsid w:val="00362940"/>
    <w:rsid w:val="00417CB8"/>
    <w:rsid w:val="006744B0"/>
    <w:rsid w:val="00680B96"/>
    <w:rsid w:val="00867DE2"/>
    <w:rsid w:val="009330E0"/>
    <w:rsid w:val="00B06DA6"/>
    <w:rsid w:val="00B76BF4"/>
    <w:rsid w:val="00D66CEE"/>
    <w:rsid w:val="00EA60EC"/>
    <w:rsid w:val="00F0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40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4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40"/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940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ListParagraph">
    <w:name w:val="List Paragraph"/>
    <w:basedOn w:val="Normal"/>
    <w:uiPriority w:val="34"/>
    <w:qFormat/>
    <w:rsid w:val="00362940"/>
    <w:pPr>
      <w:ind w:left="720"/>
      <w:contextualSpacing/>
    </w:pPr>
    <w:rPr>
      <w:rFonts w:ascii="Cambria" w:hAnsi="Cambria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6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B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B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B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B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0270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Subheader2">
    <w:name w:val="Subheader 2"/>
    <w:basedOn w:val="Normal"/>
    <w:qFormat/>
    <w:rsid w:val="00F0270B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27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40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4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40"/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940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ListParagraph">
    <w:name w:val="List Paragraph"/>
    <w:basedOn w:val="Normal"/>
    <w:uiPriority w:val="34"/>
    <w:qFormat/>
    <w:rsid w:val="00362940"/>
    <w:pPr>
      <w:ind w:left="720"/>
      <w:contextualSpacing/>
    </w:pPr>
    <w:rPr>
      <w:rFonts w:ascii="Cambria" w:hAnsi="Cambria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6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B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B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B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B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0270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Subheader2">
    <w:name w:val="Subheader 2"/>
    <w:basedOn w:val="Normal"/>
    <w:qFormat/>
    <w:rsid w:val="00F0270B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27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fek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4</TotalTime>
  <Pages>1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Doron Ofek</dc:creator>
  <cp:lastModifiedBy>Windows User</cp:lastModifiedBy>
  <cp:revision>3</cp:revision>
  <dcterms:created xsi:type="dcterms:W3CDTF">2014-03-18T13:00:00Z</dcterms:created>
  <dcterms:modified xsi:type="dcterms:W3CDTF">2014-03-18T13:30:00Z</dcterms:modified>
</cp:coreProperties>
</file>