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628DE" w14:textId="5C689E18" w:rsidR="00733A82" w:rsidRPr="00BF3EB5" w:rsidRDefault="00733A82" w:rsidP="00733A82">
      <w:pPr>
        <w:jc w:val="center"/>
        <w:rPr>
          <w:b/>
          <w:sz w:val="28"/>
          <w:szCs w:val="28"/>
        </w:rPr>
      </w:pPr>
      <w:r w:rsidRPr="00BF3EB5">
        <w:rPr>
          <w:b/>
          <w:sz w:val="28"/>
          <w:szCs w:val="28"/>
        </w:rPr>
        <w:t>Renforcement des compétences numériques dans la formation des techniciens comptables en République Démocratique du Congo</w:t>
      </w:r>
    </w:p>
    <w:p w14:paraId="2CFA7FC0" w14:textId="77777777" w:rsidR="00733A82" w:rsidRPr="00BF3EB5" w:rsidRDefault="00733A82" w:rsidP="00733A82">
      <w:pPr>
        <w:jc w:val="center"/>
        <w:rPr>
          <w:b/>
          <w:szCs w:val="20"/>
        </w:rPr>
      </w:pPr>
      <w:r w:rsidRPr="00BF3EB5">
        <w:rPr>
          <w:b/>
          <w:szCs w:val="20"/>
        </w:rPr>
        <w:t>Projet d’appui à l’adéquation for</w:t>
      </w:r>
      <w:r>
        <w:rPr>
          <w:b/>
          <w:szCs w:val="20"/>
        </w:rPr>
        <w:t>mation – emploi – qualification</w:t>
      </w:r>
    </w:p>
    <w:p w14:paraId="2103BDF2" w14:textId="77777777" w:rsidR="00733A82" w:rsidRPr="007A7218" w:rsidRDefault="00733A82" w:rsidP="00733A82">
      <w:pPr>
        <w:rPr>
          <w:sz w:val="22"/>
          <w:szCs w:val="22"/>
        </w:rPr>
      </w:pPr>
    </w:p>
    <w:tbl>
      <w:tblPr>
        <w:tblStyle w:val="Grigliatabella"/>
        <w:tblW w:w="0" w:type="auto"/>
        <w:tblLook w:val="04A0" w:firstRow="1" w:lastRow="0" w:firstColumn="1" w:lastColumn="0" w:noHBand="0" w:noVBand="1"/>
      </w:tblPr>
      <w:tblGrid>
        <w:gridCol w:w="1956"/>
        <w:gridCol w:w="7326"/>
      </w:tblGrid>
      <w:tr w:rsidR="00733A82" w14:paraId="56CC00BE" w14:textId="77777777" w:rsidTr="00961C16">
        <w:tc>
          <w:tcPr>
            <w:tcW w:w="1956" w:type="dxa"/>
          </w:tcPr>
          <w:p w14:paraId="279AB48C" w14:textId="77777777" w:rsidR="00733A82" w:rsidRPr="00816AB7" w:rsidRDefault="00733A82" w:rsidP="00961C16">
            <w:pPr>
              <w:rPr>
                <w:b/>
                <w:szCs w:val="20"/>
              </w:rPr>
            </w:pPr>
            <w:r w:rsidRPr="00816AB7">
              <w:rPr>
                <w:b/>
                <w:szCs w:val="20"/>
              </w:rPr>
              <w:t>Institution de référence</w:t>
            </w:r>
          </w:p>
        </w:tc>
        <w:tc>
          <w:tcPr>
            <w:tcW w:w="7326" w:type="dxa"/>
          </w:tcPr>
          <w:p w14:paraId="750D2B35" w14:textId="18CED9D6" w:rsidR="00733A82" w:rsidRPr="00DA69F1" w:rsidRDefault="00733A82" w:rsidP="00961C16">
            <w:pPr>
              <w:tabs>
                <w:tab w:val="left" w:pos="142"/>
              </w:tabs>
              <w:jc w:val="center"/>
              <w:rPr>
                <w:b/>
                <w:szCs w:val="20"/>
              </w:rPr>
            </w:pPr>
            <w:r w:rsidRPr="00DA69F1">
              <w:rPr>
                <w:b/>
                <w:szCs w:val="20"/>
              </w:rPr>
              <w:t>Ministère de l’Enseignement Prima</w:t>
            </w:r>
            <w:r w:rsidR="00226C4F">
              <w:rPr>
                <w:b/>
                <w:szCs w:val="20"/>
              </w:rPr>
              <w:t>ire, Secondaire et Technique</w:t>
            </w:r>
          </w:p>
          <w:p w14:paraId="153F93FB" w14:textId="3975EE06" w:rsidR="00733A82" w:rsidRPr="00DA69F1" w:rsidRDefault="00A31E47" w:rsidP="00961C16">
            <w:pPr>
              <w:tabs>
                <w:tab w:val="left" w:pos="142"/>
              </w:tabs>
              <w:jc w:val="center"/>
              <w:rPr>
                <w:b/>
                <w:szCs w:val="20"/>
              </w:rPr>
            </w:pPr>
            <w:r w:rsidRPr="00A31E47">
              <w:rPr>
                <w:b/>
                <w:szCs w:val="20"/>
              </w:rPr>
              <w:t>L’Inspection Générale de l’Enseignement Primaire, Secondaire et Technique de la République Démocratique du Congo</w:t>
            </w:r>
            <w:r w:rsidR="00733A82" w:rsidRPr="00DA69F1">
              <w:rPr>
                <w:b/>
                <w:szCs w:val="20"/>
              </w:rPr>
              <w:t xml:space="preserve"> </w:t>
            </w:r>
            <w:r>
              <w:rPr>
                <w:b/>
                <w:szCs w:val="20"/>
              </w:rPr>
              <w:br/>
            </w:r>
            <w:r w:rsidRPr="00A31E47">
              <w:rPr>
                <w:b/>
                <w:szCs w:val="20"/>
              </w:rPr>
              <w:t>Mi</w:t>
            </w:r>
            <w:r w:rsidR="00226C4F">
              <w:rPr>
                <w:b/>
                <w:szCs w:val="20"/>
              </w:rPr>
              <w:t>chel DJAMBA KAOMBE, Inspecteur G</w:t>
            </w:r>
            <w:r w:rsidRPr="00A31E47">
              <w:rPr>
                <w:b/>
                <w:szCs w:val="20"/>
              </w:rPr>
              <w:t>énéral</w:t>
            </w:r>
            <w:r>
              <w:rPr>
                <w:b/>
                <w:szCs w:val="20"/>
              </w:rPr>
              <w:br/>
            </w:r>
          </w:p>
          <w:p w14:paraId="0B987BF8" w14:textId="77777777" w:rsidR="00733A82" w:rsidRDefault="00733A82" w:rsidP="00961C16">
            <w:pPr>
              <w:jc w:val="center"/>
              <w:rPr>
                <w:rFonts w:cs="Tahoma"/>
                <w:sz w:val="18"/>
                <w:szCs w:val="18"/>
              </w:rPr>
            </w:pPr>
            <w:r w:rsidRPr="00731D67">
              <w:rPr>
                <w:rFonts w:cs="Tahoma"/>
                <w:sz w:val="18"/>
                <w:szCs w:val="18"/>
              </w:rPr>
              <w:t>Kinshasa, République Démocratique du Congo</w:t>
            </w:r>
          </w:p>
          <w:p w14:paraId="73D894A9" w14:textId="77777777" w:rsidR="00733A82" w:rsidRPr="00A62E6A" w:rsidRDefault="00733A82" w:rsidP="00961C16">
            <w:pPr>
              <w:jc w:val="center"/>
              <w:rPr>
                <w:rFonts w:cs="Tahoma"/>
                <w:sz w:val="18"/>
                <w:szCs w:val="18"/>
              </w:rPr>
            </w:pPr>
          </w:p>
        </w:tc>
      </w:tr>
      <w:tr w:rsidR="00733A82" w14:paraId="13BDCAF9" w14:textId="77777777" w:rsidTr="00961C16">
        <w:tc>
          <w:tcPr>
            <w:tcW w:w="1956" w:type="dxa"/>
          </w:tcPr>
          <w:p w14:paraId="5FC7A017" w14:textId="392804D9" w:rsidR="00733A82" w:rsidRPr="00731D67" w:rsidRDefault="00733A82" w:rsidP="00961C16">
            <w:pPr>
              <w:rPr>
                <w:b/>
              </w:rPr>
            </w:pPr>
            <w:r w:rsidRPr="00731D67">
              <w:rPr>
                <w:b/>
              </w:rPr>
              <w:t>Partenaire technologique</w:t>
            </w:r>
            <w:r>
              <w:rPr>
                <w:b/>
              </w:rPr>
              <w:t xml:space="preserve"> et recherche de fonds</w:t>
            </w:r>
          </w:p>
        </w:tc>
        <w:tc>
          <w:tcPr>
            <w:tcW w:w="7326" w:type="dxa"/>
          </w:tcPr>
          <w:p w14:paraId="08557FAE" w14:textId="77777777" w:rsidR="00733A82" w:rsidRPr="00731D67" w:rsidRDefault="00733A82" w:rsidP="00961C16">
            <w:pPr>
              <w:jc w:val="center"/>
              <w:rPr>
                <w:b/>
                <w:szCs w:val="20"/>
              </w:rPr>
            </w:pPr>
            <w:r w:rsidRPr="00731D67">
              <w:rPr>
                <w:b/>
                <w:szCs w:val="20"/>
              </w:rPr>
              <w:t>Banana.ch SA</w:t>
            </w:r>
          </w:p>
          <w:p w14:paraId="530FEA36" w14:textId="77777777" w:rsidR="00733A82" w:rsidRPr="00731D67" w:rsidRDefault="00941B28" w:rsidP="00961C16">
            <w:pPr>
              <w:jc w:val="center"/>
              <w:rPr>
                <w:szCs w:val="20"/>
              </w:rPr>
            </w:pPr>
            <w:hyperlink r:id="rId11" w:history="1">
              <w:r w:rsidR="00733A82" w:rsidRPr="00731D67">
                <w:rPr>
                  <w:rStyle w:val="Collegamentoipertestuale"/>
                  <w:szCs w:val="20"/>
                </w:rPr>
                <w:t>info@banana.ch</w:t>
              </w:r>
            </w:hyperlink>
          </w:p>
          <w:p w14:paraId="2498F5B5" w14:textId="77777777" w:rsidR="00733A82" w:rsidRDefault="00733A82" w:rsidP="00961C16">
            <w:pPr>
              <w:jc w:val="center"/>
              <w:rPr>
                <w:b/>
                <w:sz w:val="22"/>
                <w:szCs w:val="22"/>
              </w:rPr>
            </w:pPr>
          </w:p>
          <w:p w14:paraId="1B16DD4C" w14:textId="77777777" w:rsidR="00733A82" w:rsidRPr="006A73CD" w:rsidRDefault="00733A82" w:rsidP="00961C16">
            <w:pPr>
              <w:jc w:val="center"/>
              <w:rPr>
                <w:sz w:val="18"/>
                <w:szCs w:val="18"/>
              </w:rPr>
            </w:pPr>
            <w:r w:rsidRPr="006A73CD">
              <w:rPr>
                <w:sz w:val="18"/>
                <w:szCs w:val="18"/>
              </w:rPr>
              <w:t>CH-6962 Viganello, Svizzera</w:t>
            </w:r>
          </w:p>
          <w:p w14:paraId="57347D75" w14:textId="77777777" w:rsidR="00733A82" w:rsidRPr="00731D67" w:rsidRDefault="00733A82" w:rsidP="00961C16">
            <w:pPr>
              <w:jc w:val="center"/>
              <w:rPr>
                <w:szCs w:val="20"/>
              </w:rPr>
            </w:pPr>
          </w:p>
        </w:tc>
      </w:tr>
      <w:tr w:rsidR="00733A82" w14:paraId="50F384B2" w14:textId="77777777" w:rsidTr="00961C16">
        <w:tc>
          <w:tcPr>
            <w:tcW w:w="1956" w:type="dxa"/>
          </w:tcPr>
          <w:p w14:paraId="3C411B84" w14:textId="4640A5DE" w:rsidR="00733A82" w:rsidRPr="005F6FCA" w:rsidRDefault="00733A82" w:rsidP="00961C16">
            <w:pPr>
              <w:rPr>
                <w:b/>
              </w:rPr>
            </w:pPr>
            <w:r w:rsidRPr="00A62E6A">
              <w:rPr>
                <w:b/>
              </w:rPr>
              <w:t>Durée totale de l’intervention</w:t>
            </w:r>
          </w:p>
        </w:tc>
        <w:tc>
          <w:tcPr>
            <w:tcW w:w="7326" w:type="dxa"/>
          </w:tcPr>
          <w:p w14:paraId="28C9634F" w14:textId="77777777" w:rsidR="00733A82" w:rsidRDefault="00733A82" w:rsidP="00961C16">
            <w:pPr>
              <w:rPr>
                <w:b/>
                <w:sz w:val="22"/>
                <w:szCs w:val="22"/>
              </w:rPr>
            </w:pPr>
            <w:r w:rsidRPr="002A2C16">
              <w:t>2020-2025</w:t>
            </w:r>
          </w:p>
        </w:tc>
      </w:tr>
      <w:tr w:rsidR="00733A82" w:rsidRPr="005F6FCA" w14:paraId="5BC169C7" w14:textId="77777777" w:rsidTr="00961C16">
        <w:tc>
          <w:tcPr>
            <w:tcW w:w="1956" w:type="dxa"/>
          </w:tcPr>
          <w:p w14:paraId="2BE3A312" w14:textId="7B494DF5" w:rsidR="00733A82" w:rsidRPr="005F6FCA" w:rsidRDefault="00ED501F" w:rsidP="00961C16">
            <w:pPr>
              <w:rPr>
                <w:b/>
                <w:szCs w:val="20"/>
              </w:rPr>
            </w:pPr>
            <w:r>
              <w:rPr>
                <w:b/>
                <w:szCs w:val="20"/>
              </w:rPr>
              <w:t xml:space="preserve">Pays </w:t>
            </w:r>
          </w:p>
        </w:tc>
        <w:tc>
          <w:tcPr>
            <w:tcW w:w="7326" w:type="dxa"/>
          </w:tcPr>
          <w:p w14:paraId="56F3A302" w14:textId="77777777" w:rsidR="00733A82" w:rsidRPr="005F6FCA" w:rsidRDefault="00733A82" w:rsidP="00961C16">
            <w:pPr>
              <w:rPr>
                <w:szCs w:val="20"/>
              </w:rPr>
            </w:pPr>
            <w:r w:rsidRPr="005F6FCA">
              <w:rPr>
                <w:szCs w:val="20"/>
              </w:rPr>
              <w:t>République Démocratique du Congo</w:t>
            </w:r>
          </w:p>
        </w:tc>
      </w:tr>
    </w:tbl>
    <w:p w14:paraId="2603E045" w14:textId="77777777" w:rsidR="00733A82" w:rsidRDefault="00733A82" w:rsidP="00733A82">
      <w:pPr>
        <w:rPr>
          <w:b/>
          <w:iCs/>
          <w:szCs w:val="20"/>
        </w:rPr>
      </w:pPr>
    </w:p>
    <w:p w14:paraId="0FBF10DD" w14:textId="2172F736" w:rsidR="00961C16" w:rsidRPr="00961C16" w:rsidRDefault="00961C16" w:rsidP="00961C16">
      <w:pPr>
        <w:jc w:val="both"/>
        <w:rPr>
          <w:b/>
          <w:u w:val="single"/>
        </w:rPr>
      </w:pPr>
      <w:r w:rsidRPr="00961C16">
        <w:rPr>
          <w:b/>
          <w:u w:val="single"/>
        </w:rPr>
        <w:t>Contexte général</w:t>
      </w:r>
      <w:r>
        <w:rPr>
          <w:b/>
          <w:u w:val="single"/>
        </w:rPr>
        <w:t xml:space="preserve"> du projet</w:t>
      </w:r>
    </w:p>
    <w:p w14:paraId="53FC43BA" w14:textId="1E1E88D2" w:rsidR="00961C16" w:rsidRDefault="00961C16" w:rsidP="00961C16">
      <w:pPr>
        <w:jc w:val="both"/>
        <w:rPr>
          <w:szCs w:val="22"/>
        </w:rPr>
      </w:pPr>
      <w:r>
        <w:t xml:space="preserve">Le projet, dans son ensemble, </w:t>
      </w:r>
      <w:r w:rsidRPr="00671C6F">
        <w:t>vise</w:t>
      </w:r>
      <w:r>
        <w:t xml:space="preserve"> l’introduction des standards de comptabilité de l’OHADA et </w:t>
      </w:r>
      <w:r w:rsidRPr="00671C6F">
        <w:t>l’intégration des Technologies de l’Information et de communication</w:t>
      </w:r>
      <w:r>
        <w:t xml:space="preserve"> (TIC), </w:t>
      </w:r>
      <w:r w:rsidRPr="00D31C5C">
        <w:t>à l’aide de logiciel comptable et outils (Word, Excel),</w:t>
      </w:r>
      <w:r w:rsidRPr="00671C6F">
        <w:t xml:space="preserve"> dans l’enseignement </w:t>
      </w:r>
      <w:r>
        <w:t>des écoles organisant la</w:t>
      </w:r>
      <w:r w:rsidRPr="00671C6F">
        <w:t xml:space="preserve"> fi</w:t>
      </w:r>
      <w:r>
        <w:t xml:space="preserve">lière technique commerciale. </w:t>
      </w:r>
      <w:r>
        <w:rPr>
          <w:szCs w:val="22"/>
        </w:rPr>
        <w:t xml:space="preserve">Ce projet, orienté sur une vision à moyen et long terme, s’insère dans une évolution caractérisée par des changements technologiques importants et réunit un grand nombre d’acteurs </w:t>
      </w:r>
      <w:r w:rsidRPr="009441C0">
        <w:rPr>
          <w:szCs w:val="22"/>
        </w:rPr>
        <w:t>(</w:t>
      </w:r>
      <w:r>
        <w:rPr>
          <w:szCs w:val="22"/>
        </w:rPr>
        <w:t>agents étatiques</w:t>
      </w:r>
      <w:r w:rsidRPr="009441C0">
        <w:rPr>
          <w:szCs w:val="22"/>
        </w:rPr>
        <w:t>, provinces, éco</w:t>
      </w:r>
      <w:r>
        <w:rPr>
          <w:szCs w:val="22"/>
        </w:rPr>
        <w:t xml:space="preserve">les, étudiants et entreprises) </w:t>
      </w:r>
      <w:r w:rsidRPr="009441C0">
        <w:rPr>
          <w:szCs w:val="22"/>
        </w:rPr>
        <w:t>ayant des situations géographiques, logistiques et financières différentes.</w:t>
      </w:r>
      <w:r>
        <w:rPr>
          <w:szCs w:val="22"/>
        </w:rPr>
        <w:t xml:space="preserve"> </w:t>
      </w:r>
      <w:r>
        <w:t xml:space="preserve">L’implémentation du projet nécessite un déroulement par étapes successives qui se traduit concrètement dans plusieurs sous-projets : c’est le cas de la réalisation de la formation des formateurs, de la requalification du personnel enseignant, de la création de programmes d’études et du matériel didactique numérique, de la dotation en software comptable ou de la création d’infrastructures équipées d’instruments adaptés à l’enseignement de la comptabilité informatisée. </w:t>
      </w:r>
      <w:r>
        <w:rPr>
          <w:szCs w:val="22"/>
        </w:rPr>
        <w:t>Le Ministère</w:t>
      </w:r>
      <w:r w:rsidR="0014598D">
        <w:rPr>
          <w:szCs w:val="22"/>
        </w:rPr>
        <w:t xml:space="preserve"> </w:t>
      </w:r>
      <w:r w:rsidR="0014598D" w:rsidRPr="0014598D">
        <w:rPr>
          <w:szCs w:val="22"/>
        </w:rPr>
        <w:t>de l’Enseignement Primaire, Secondaire et Technique</w:t>
      </w:r>
      <w:r>
        <w:rPr>
          <w:szCs w:val="22"/>
        </w:rPr>
        <w:t xml:space="preserve">, en accord avec le partenaire technologique, a considéré nécessaire de procéder par une dynamisation de la gestion et de la recherche des fonds. Dans cette logique les investissements, les objectifs et les activités sont alloués </w:t>
      </w:r>
      <w:r w:rsidR="00F43E8A">
        <w:rPr>
          <w:szCs w:val="22"/>
        </w:rPr>
        <w:t>sur base</w:t>
      </w:r>
      <w:r>
        <w:rPr>
          <w:szCs w:val="22"/>
        </w:rPr>
        <w:t xml:space="preserve"> d’évaluations précises et selon les objectifs, les valeurs et les moyens à </w:t>
      </w:r>
      <w:r w:rsidR="0014598D">
        <w:rPr>
          <w:szCs w:val="22"/>
        </w:rPr>
        <w:t xml:space="preserve">mis </w:t>
      </w:r>
      <w:r w:rsidR="0014598D" w:rsidRPr="0014598D">
        <w:rPr>
          <w:szCs w:val="22"/>
        </w:rPr>
        <w:t>d</w:t>
      </w:r>
      <w:r w:rsidR="0014598D">
        <w:rPr>
          <w:szCs w:val="22"/>
        </w:rPr>
        <w:t>isposition</w:t>
      </w:r>
      <w:r w:rsidR="0014598D" w:rsidRPr="0014598D">
        <w:rPr>
          <w:szCs w:val="22"/>
        </w:rPr>
        <w:t>.</w:t>
      </w:r>
    </w:p>
    <w:p w14:paraId="07652C96" w14:textId="0D871052" w:rsidR="00DA26BE" w:rsidRDefault="00DA26BE" w:rsidP="00961C16">
      <w:pPr>
        <w:jc w:val="both"/>
        <w:rPr>
          <w:szCs w:val="22"/>
        </w:rPr>
      </w:pPr>
    </w:p>
    <w:p w14:paraId="4F6C2732" w14:textId="44984AA3" w:rsidR="00DA26BE" w:rsidRPr="00DA26BE" w:rsidRDefault="00DA26BE" w:rsidP="00961C16">
      <w:pPr>
        <w:jc w:val="both"/>
        <w:rPr>
          <w:b/>
          <w:szCs w:val="22"/>
          <w:u w:val="single"/>
        </w:rPr>
      </w:pPr>
      <w:r w:rsidRPr="00DA26BE">
        <w:rPr>
          <w:b/>
          <w:szCs w:val="22"/>
          <w:u w:val="single"/>
        </w:rPr>
        <w:t>Acteurs impliqués</w:t>
      </w:r>
    </w:p>
    <w:p w14:paraId="54772A0C" w14:textId="5CD2454E" w:rsidR="00DA26BE" w:rsidRPr="00DA26BE" w:rsidRDefault="00DA26BE" w:rsidP="00DA26BE">
      <w:pPr>
        <w:numPr>
          <w:ilvl w:val="0"/>
          <w:numId w:val="4"/>
        </w:numPr>
        <w:jc w:val="both"/>
        <w:rPr>
          <w:rFonts w:cs="Tahoma"/>
          <w:bCs/>
          <w:szCs w:val="20"/>
        </w:rPr>
      </w:pPr>
      <w:r w:rsidRPr="00DA26BE">
        <w:rPr>
          <w:rFonts w:cs="Tahoma"/>
          <w:bCs/>
          <w:szCs w:val="20"/>
        </w:rPr>
        <w:t>Le</w:t>
      </w:r>
      <w:r w:rsidRPr="00DA26BE">
        <w:rPr>
          <w:rFonts w:cs="Tahoma"/>
          <w:bCs/>
          <w:i/>
          <w:szCs w:val="20"/>
        </w:rPr>
        <w:t xml:space="preserve"> </w:t>
      </w:r>
      <w:r w:rsidRPr="00DA26BE">
        <w:rPr>
          <w:rFonts w:cs="Tahoma"/>
          <w:b/>
          <w:bCs/>
          <w:i/>
          <w:szCs w:val="20"/>
        </w:rPr>
        <w:t>Ministère de l’Enseignement Primaire, Secondaire et Technique</w:t>
      </w:r>
      <w:r w:rsidRPr="00DA26BE">
        <w:rPr>
          <w:rFonts w:cs="Tahoma"/>
          <w:b/>
          <w:bCs/>
          <w:szCs w:val="20"/>
        </w:rPr>
        <w:t xml:space="preserve"> </w:t>
      </w:r>
      <w:r w:rsidRPr="00DA26BE">
        <w:rPr>
          <w:rFonts w:cs="Tahoma"/>
          <w:bCs/>
          <w:szCs w:val="20"/>
        </w:rPr>
        <w:t xml:space="preserve">exerce un rôle de coordination du projet, s’occupe de la constitution des programmes à l’échelle nationale, le monitoring ponctuel des activités et du financement de l’ensemble du projet. </w:t>
      </w:r>
    </w:p>
    <w:p w14:paraId="7A94E366" w14:textId="2F97CA15" w:rsidR="00DA26BE" w:rsidRPr="00DA26BE" w:rsidRDefault="00DA26BE" w:rsidP="00DA26BE">
      <w:pPr>
        <w:pStyle w:val="Paragrafoelenco"/>
        <w:numPr>
          <w:ilvl w:val="0"/>
          <w:numId w:val="4"/>
        </w:numPr>
        <w:rPr>
          <w:rFonts w:ascii="Tahoma" w:hAnsi="Tahoma" w:cs="Tahoma"/>
          <w:sz w:val="20"/>
          <w:szCs w:val="20"/>
        </w:rPr>
      </w:pPr>
      <w:r w:rsidRPr="00DA26BE">
        <w:rPr>
          <w:rFonts w:ascii="Tahoma" w:hAnsi="Tahoma" w:cs="Tahoma"/>
          <w:b/>
          <w:bCs/>
          <w:sz w:val="20"/>
          <w:szCs w:val="20"/>
        </w:rPr>
        <w:t>Banana.ch SA,</w:t>
      </w:r>
      <w:r w:rsidRPr="00DA26BE">
        <w:rPr>
          <w:rFonts w:ascii="Tahoma" w:hAnsi="Tahoma" w:cs="Tahoma"/>
          <w:bCs/>
          <w:sz w:val="20"/>
          <w:szCs w:val="20"/>
        </w:rPr>
        <w:t xml:space="preserve"> partenaire technologique, </w:t>
      </w:r>
      <w:r w:rsidRPr="00DA26BE">
        <w:rPr>
          <w:rFonts w:ascii="Tahoma" w:hAnsi="Tahoma" w:cs="Tahoma"/>
          <w:sz w:val="20"/>
          <w:szCs w:val="20"/>
        </w:rPr>
        <w:t xml:space="preserve">l’entreprise apporte sa contribution premièrement grâce à la mise à disposition gratuite de softwares adaptés aux technologies locales et deuxièmement à travers le travail minutieux d’homologation des logiciels aux contraintes imposées par le système OHADA. Banana.ch SA exerce aussi un rôle de facilitateur dans la recherche de financements. </w:t>
      </w:r>
    </w:p>
    <w:p w14:paraId="6F46E1BE" w14:textId="3373FD23" w:rsidR="00DA26BE" w:rsidRDefault="00DA26BE" w:rsidP="008D1C95">
      <w:pPr>
        <w:numPr>
          <w:ilvl w:val="0"/>
          <w:numId w:val="4"/>
        </w:numPr>
        <w:jc w:val="both"/>
        <w:rPr>
          <w:rFonts w:cs="Tahoma"/>
          <w:bCs/>
          <w:szCs w:val="20"/>
        </w:rPr>
      </w:pPr>
      <w:r w:rsidRPr="00DA26BE">
        <w:rPr>
          <w:rFonts w:cs="Tahoma"/>
          <w:bCs/>
          <w:szCs w:val="20"/>
        </w:rPr>
        <w:t xml:space="preserve">Les </w:t>
      </w:r>
      <w:r w:rsidR="005530E0">
        <w:rPr>
          <w:rFonts w:cs="Tahoma"/>
          <w:b/>
          <w:bCs/>
          <w:i/>
          <w:szCs w:val="20"/>
        </w:rPr>
        <w:t>autorités des 2</w:t>
      </w:r>
      <w:r w:rsidRPr="00DA26BE">
        <w:rPr>
          <w:rFonts w:cs="Tahoma"/>
          <w:b/>
          <w:bCs/>
          <w:i/>
          <w:szCs w:val="20"/>
        </w:rPr>
        <w:t>6 Provinces</w:t>
      </w:r>
      <w:r w:rsidRPr="00DA26BE">
        <w:rPr>
          <w:rFonts w:cs="Tahoma"/>
          <w:bCs/>
          <w:szCs w:val="20"/>
        </w:rPr>
        <w:t xml:space="preserve"> en charge de l’organisation de l’enseignement s’occupent de la formation des formateurs et ensuite des enseignants de comptabilité et informatique. Ce qui demande aux institutions </w:t>
      </w:r>
      <w:r w:rsidR="00F73FBA">
        <w:rPr>
          <w:rFonts w:cs="Tahoma"/>
          <w:bCs/>
          <w:szCs w:val="20"/>
        </w:rPr>
        <w:t xml:space="preserve">d’avoir </w:t>
      </w:r>
      <w:r w:rsidRPr="00DA26BE">
        <w:rPr>
          <w:rFonts w:cs="Tahoma"/>
          <w:bCs/>
          <w:szCs w:val="20"/>
        </w:rPr>
        <w:t>des grandes disponibilités en financements.</w:t>
      </w:r>
    </w:p>
    <w:p w14:paraId="76D5EDF5" w14:textId="62F046CF" w:rsidR="004B2BFE" w:rsidRPr="004B2BFE" w:rsidRDefault="004B2BFE" w:rsidP="004B2BFE">
      <w:pPr>
        <w:numPr>
          <w:ilvl w:val="0"/>
          <w:numId w:val="4"/>
        </w:numPr>
        <w:jc w:val="both"/>
        <w:rPr>
          <w:rFonts w:cs="Tahoma"/>
          <w:bCs/>
          <w:szCs w:val="20"/>
        </w:rPr>
      </w:pPr>
      <w:r w:rsidRPr="00A72127">
        <w:rPr>
          <w:rFonts w:cs="Tahoma"/>
          <w:bCs/>
          <w:szCs w:val="20"/>
        </w:rPr>
        <w:t xml:space="preserve">Le </w:t>
      </w:r>
      <w:r w:rsidRPr="00A9551C">
        <w:rPr>
          <w:rFonts w:cs="Tahoma"/>
          <w:b/>
          <w:bCs/>
          <w:i/>
          <w:szCs w:val="20"/>
        </w:rPr>
        <w:t>Conseil Permanent de Comptabilité au Congo (CPCC)</w:t>
      </w:r>
      <w:r w:rsidRPr="00A72127">
        <w:rPr>
          <w:rFonts w:cs="Tahoma"/>
          <w:bCs/>
          <w:szCs w:val="20"/>
        </w:rPr>
        <w:t xml:space="preserve"> est l’organe de normalisation Comptable en République Démocrati</w:t>
      </w:r>
      <w:r>
        <w:rPr>
          <w:rFonts w:cs="Tahoma"/>
          <w:bCs/>
          <w:szCs w:val="20"/>
        </w:rPr>
        <w:t>que du Congo qui se charge de la</w:t>
      </w:r>
      <w:r w:rsidRPr="00A72127">
        <w:rPr>
          <w:rFonts w:cs="Tahoma"/>
          <w:bCs/>
          <w:szCs w:val="20"/>
        </w:rPr>
        <w:t xml:space="preserve"> mise à disposition d’expertise sur les aspects comptables et sur les thématiques OHADA.</w:t>
      </w:r>
      <w:r>
        <w:rPr>
          <w:rFonts w:cs="Tahoma"/>
          <w:bCs/>
          <w:szCs w:val="20"/>
        </w:rPr>
        <w:t xml:space="preserve"> </w:t>
      </w:r>
    </w:p>
    <w:p w14:paraId="2F3B82BF" w14:textId="1913B135" w:rsidR="002C4E0E" w:rsidRPr="008D1C95" w:rsidRDefault="002C4E0E" w:rsidP="002C4E0E">
      <w:pPr>
        <w:rPr>
          <w:rFonts w:cs="Tahoma"/>
          <w:bCs/>
          <w:szCs w:val="20"/>
        </w:rPr>
      </w:pPr>
      <w:r>
        <w:rPr>
          <w:rFonts w:cs="Tahoma"/>
          <w:bCs/>
          <w:szCs w:val="20"/>
        </w:rPr>
        <w:br w:type="page"/>
      </w:r>
    </w:p>
    <w:p w14:paraId="07DD534D" w14:textId="1232522B" w:rsidR="00961C16" w:rsidRDefault="00961C16">
      <w:pPr>
        <w:rPr>
          <w:b/>
          <w:sz w:val="26"/>
          <w:szCs w:val="26"/>
        </w:rPr>
      </w:pPr>
      <w:r w:rsidRPr="00961C16">
        <w:rPr>
          <w:b/>
          <w:sz w:val="26"/>
          <w:szCs w:val="26"/>
        </w:rPr>
        <w:lastRenderedPageBreak/>
        <w:t>Sous-projet : Formation des formateurs dans toutes les provinces</w:t>
      </w:r>
    </w:p>
    <w:p w14:paraId="6A919595" w14:textId="3D9CE7EA" w:rsidR="00961C16" w:rsidRDefault="00961C16">
      <w:pPr>
        <w:rPr>
          <w:rFonts w:cs="Tahoma"/>
          <w:szCs w:val="20"/>
        </w:rPr>
      </w:pPr>
    </w:p>
    <w:p w14:paraId="6B77F66F" w14:textId="0E2FBCCD" w:rsidR="00961C16" w:rsidRPr="002746F6" w:rsidRDefault="00961C16" w:rsidP="00961C16">
      <w:pPr>
        <w:jc w:val="both"/>
      </w:pPr>
      <w:r>
        <w:t>La République Démocratique du Congo s’organise autour d’un système éducatif fondé sur 50 provinces éducationnelles responsables des structures scolaires et des enseignants.</w:t>
      </w:r>
      <w:r w:rsidR="009D4131">
        <w:t xml:space="preserve"> L’énorme diversité de contexte</w:t>
      </w:r>
      <w:r>
        <w:t xml:space="preserve">, l’étendu du pays et les ressources économiques limitées du gouvernement central et des </w:t>
      </w:r>
      <w:r w:rsidR="00E67B02">
        <w:t>Directions</w:t>
      </w:r>
      <w:r>
        <w:t xml:space="preserve"> provinciales, d’a</w:t>
      </w:r>
      <w:r w:rsidR="009D4131">
        <w:t>illeurs précarisées davantage pa</w:t>
      </w:r>
      <w:r>
        <w:t>r les épidémies (Ebola et Coronavirus) et les conflits loca</w:t>
      </w:r>
      <w:r w:rsidR="00F43E8A">
        <w:t>ux</w:t>
      </w:r>
      <w:r>
        <w:t>, réduisent remarquablement les possibilités d’investissements dans le secteur de l’</w:t>
      </w:r>
      <w:r w:rsidR="00F43E8A">
        <w:t>éducation</w:t>
      </w:r>
      <w:r>
        <w:t xml:space="preserve">. </w:t>
      </w:r>
    </w:p>
    <w:p w14:paraId="74360039" w14:textId="0F708A5A" w:rsidR="00961C16" w:rsidRPr="00387D77" w:rsidRDefault="00961C16" w:rsidP="00961C16">
      <w:pPr>
        <w:jc w:val="both"/>
        <w:rPr>
          <w:szCs w:val="22"/>
        </w:rPr>
      </w:pPr>
      <w:r>
        <w:rPr>
          <w:szCs w:val="22"/>
        </w:rPr>
        <w:t xml:space="preserve">A ce stade, pour poursuivre dans la réalisation du projet, </w:t>
      </w:r>
      <w:r w:rsidRPr="00387D77">
        <w:rPr>
          <w:szCs w:val="22"/>
        </w:rPr>
        <w:t>la recherche de financements est orientée en</w:t>
      </w:r>
      <w:r w:rsidR="009D4131">
        <w:rPr>
          <w:szCs w:val="22"/>
        </w:rPr>
        <w:t xml:space="preserve"> priorité à la quête de soutien</w:t>
      </w:r>
      <w:r w:rsidRPr="00387D77">
        <w:rPr>
          <w:szCs w:val="22"/>
        </w:rPr>
        <w:t xml:space="preserve"> pour permettre à l’ensemble des provinces d’implémenter les Formations des formateurs. </w:t>
      </w:r>
    </w:p>
    <w:p w14:paraId="5177F6EE" w14:textId="77777777" w:rsidR="00000E10" w:rsidRDefault="00000E10">
      <w:pPr>
        <w:rPr>
          <w:rFonts w:cs="Tahoma"/>
          <w:b/>
          <w:szCs w:val="20"/>
        </w:rPr>
      </w:pPr>
    </w:p>
    <w:tbl>
      <w:tblPr>
        <w:tblStyle w:val="Grigliatabella"/>
        <w:tblW w:w="0" w:type="auto"/>
        <w:tblLook w:val="04A0" w:firstRow="1" w:lastRow="0" w:firstColumn="1" w:lastColumn="0" w:noHBand="0" w:noVBand="1"/>
      </w:tblPr>
      <w:tblGrid>
        <w:gridCol w:w="1961"/>
        <w:gridCol w:w="7255"/>
      </w:tblGrid>
      <w:tr w:rsidR="00000E10" w14:paraId="690B0C7F" w14:textId="77777777" w:rsidTr="0079688A">
        <w:tc>
          <w:tcPr>
            <w:tcW w:w="1961" w:type="dxa"/>
          </w:tcPr>
          <w:p w14:paraId="339C111D" w14:textId="748523D5" w:rsidR="00000E10" w:rsidRPr="0079688A" w:rsidRDefault="00000E10">
            <w:pPr>
              <w:rPr>
                <w:rFonts w:cs="Tahoma"/>
                <w:b/>
                <w:szCs w:val="20"/>
              </w:rPr>
            </w:pPr>
            <w:r w:rsidRPr="0079688A">
              <w:rPr>
                <w:rFonts w:cs="Tahoma"/>
                <w:b/>
                <w:szCs w:val="20"/>
              </w:rPr>
              <w:t>Objectif général</w:t>
            </w:r>
          </w:p>
        </w:tc>
        <w:tc>
          <w:tcPr>
            <w:tcW w:w="7255" w:type="dxa"/>
          </w:tcPr>
          <w:p w14:paraId="6D8CCA01" w14:textId="77777777" w:rsidR="007155F9" w:rsidRDefault="007155F9" w:rsidP="007155F9">
            <w:pPr>
              <w:jc w:val="both"/>
            </w:pPr>
            <w:r>
              <w:t>A travers le processus de renforcement digital de la comptabilité et</w:t>
            </w:r>
            <w:r w:rsidRPr="00671C6F">
              <w:t xml:space="preserve"> </w:t>
            </w:r>
            <w:r>
              <w:t xml:space="preserve">l’apprentissage dans la </w:t>
            </w:r>
            <w:r w:rsidRPr="00671C6F">
              <w:t>manipulation des outils informatiques</w:t>
            </w:r>
            <w:r>
              <w:t xml:space="preserve"> le projet contribue </w:t>
            </w:r>
            <w:r w:rsidRPr="00671C6F">
              <w:t>à l’amélioration d</w:t>
            </w:r>
            <w:r>
              <w:t xml:space="preserve">e la qualité des enseignements en comptabilité </w:t>
            </w:r>
            <w:r w:rsidRPr="00671C6F">
              <w:t>dans les écoles des filières techniques commerciales</w:t>
            </w:r>
            <w:r>
              <w:t>.</w:t>
            </w:r>
          </w:p>
          <w:p w14:paraId="0549533D" w14:textId="77777777" w:rsidR="00000E10" w:rsidRDefault="00000E10">
            <w:pPr>
              <w:rPr>
                <w:rFonts w:cs="Tahoma"/>
                <w:b/>
                <w:szCs w:val="20"/>
              </w:rPr>
            </w:pPr>
          </w:p>
        </w:tc>
      </w:tr>
      <w:tr w:rsidR="000E1E92" w14:paraId="32BBDAA6" w14:textId="77777777" w:rsidTr="0079688A">
        <w:tc>
          <w:tcPr>
            <w:tcW w:w="1961" w:type="dxa"/>
          </w:tcPr>
          <w:p w14:paraId="6F154E36" w14:textId="6BBFD3A4" w:rsidR="000E1E92" w:rsidRPr="0079688A" w:rsidRDefault="000E1E92">
            <w:pPr>
              <w:rPr>
                <w:rFonts w:cs="Tahoma"/>
                <w:b/>
                <w:szCs w:val="20"/>
              </w:rPr>
            </w:pPr>
            <w:r w:rsidRPr="0079688A">
              <w:rPr>
                <w:rFonts w:cs="Tahoma"/>
                <w:b/>
                <w:szCs w:val="20"/>
              </w:rPr>
              <w:t xml:space="preserve">Objectifs spécifiques </w:t>
            </w:r>
          </w:p>
        </w:tc>
        <w:tc>
          <w:tcPr>
            <w:tcW w:w="7255" w:type="dxa"/>
          </w:tcPr>
          <w:p w14:paraId="3E8AE648" w14:textId="4204E152" w:rsidR="00C2062B" w:rsidRDefault="00A21964" w:rsidP="00C2062B">
            <w:pPr>
              <w:rPr>
                <w:szCs w:val="22"/>
              </w:rPr>
            </w:pPr>
            <w:r>
              <w:rPr>
                <w:szCs w:val="22"/>
              </w:rPr>
              <w:t xml:space="preserve">OS1 : </w:t>
            </w:r>
            <w:r w:rsidR="00C2062B">
              <w:rPr>
                <w:szCs w:val="22"/>
              </w:rPr>
              <w:t xml:space="preserve">Les capacités professionnelles de 50 formateurs par province </w:t>
            </w:r>
            <w:r w:rsidR="00C2062B" w:rsidRPr="00C2062B">
              <w:rPr>
                <w:szCs w:val="22"/>
              </w:rPr>
              <w:t xml:space="preserve">(pour un total de 37 provinces </w:t>
            </w:r>
            <w:r w:rsidR="007A0714">
              <w:rPr>
                <w:szCs w:val="22"/>
              </w:rPr>
              <w:t xml:space="preserve">éducationnelles </w:t>
            </w:r>
            <w:r w:rsidR="00C2062B" w:rsidRPr="00C2062B">
              <w:rPr>
                <w:szCs w:val="22"/>
              </w:rPr>
              <w:t>et de conséquence 1850 formateurs)</w:t>
            </w:r>
            <w:r w:rsidR="006013EE">
              <w:rPr>
                <w:szCs w:val="22"/>
              </w:rPr>
              <w:t xml:space="preserve"> sont renforcées et le</w:t>
            </w:r>
            <w:r w:rsidR="00C2062B" w:rsidRPr="00C2062B">
              <w:rPr>
                <w:szCs w:val="22"/>
              </w:rPr>
              <w:t xml:space="preserve"> niveau du savoir et savoir-faire sur la manipulation des outils informatiques, plus particulièrement le logiciel comptable</w:t>
            </w:r>
            <w:r w:rsidR="006013EE">
              <w:rPr>
                <w:szCs w:val="22"/>
              </w:rPr>
              <w:t>, est augmenté</w:t>
            </w:r>
            <w:r w:rsidR="00C2062B" w:rsidRPr="00C2062B">
              <w:rPr>
                <w:szCs w:val="22"/>
              </w:rPr>
              <w:t xml:space="preserve">. </w:t>
            </w:r>
          </w:p>
          <w:p w14:paraId="15588467" w14:textId="77777777" w:rsidR="00A21964" w:rsidRDefault="00A21964" w:rsidP="00C2062B">
            <w:pPr>
              <w:rPr>
                <w:szCs w:val="22"/>
              </w:rPr>
            </w:pPr>
          </w:p>
          <w:p w14:paraId="7FDC135E" w14:textId="1F1A114F" w:rsidR="00A21964" w:rsidRPr="00C2062B" w:rsidRDefault="00A21964" w:rsidP="00C2062B">
            <w:pPr>
              <w:rPr>
                <w:szCs w:val="22"/>
              </w:rPr>
            </w:pPr>
            <w:r>
              <w:rPr>
                <w:szCs w:val="22"/>
              </w:rPr>
              <w:t xml:space="preserve">OS2 : Le matériel didactique est </w:t>
            </w:r>
            <w:r w:rsidR="00E67B02">
              <w:rPr>
                <w:szCs w:val="22"/>
              </w:rPr>
              <w:t>créé</w:t>
            </w:r>
            <w:r w:rsidR="0078536F">
              <w:rPr>
                <w:szCs w:val="22"/>
              </w:rPr>
              <w:t xml:space="preserve">, </w:t>
            </w:r>
            <w:r>
              <w:rPr>
                <w:szCs w:val="22"/>
              </w:rPr>
              <w:t xml:space="preserve">testé et </w:t>
            </w:r>
            <w:r w:rsidR="00F43E8A">
              <w:rPr>
                <w:szCs w:val="22"/>
              </w:rPr>
              <w:t>évalué sur son</w:t>
            </w:r>
            <w:r>
              <w:rPr>
                <w:szCs w:val="22"/>
              </w:rPr>
              <w:t xml:space="preserve"> efficacité. </w:t>
            </w:r>
          </w:p>
          <w:p w14:paraId="1F664D9A" w14:textId="77777777" w:rsidR="000E1E92" w:rsidRDefault="000E1E92">
            <w:pPr>
              <w:rPr>
                <w:rFonts w:cs="Tahoma"/>
                <w:b/>
                <w:szCs w:val="20"/>
              </w:rPr>
            </w:pPr>
          </w:p>
        </w:tc>
      </w:tr>
      <w:tr w:rsidR="0079688A" w14:paraId="55F68732" w14:textId="77777777" w:rsidTr="0079688A">
        <w:tc>
          <w:tcPr>
            <w:tcW w:w="1961" w:type="dxa"/>
          </w:tcPr>
          <w:p w14:paraId="47FAC126" w14:textId="6DAD7D13" w:rsidR="0079688A" w:rsidRDefault="0079688A">
            <w:pPr>
              <w:rPr>
                <w:rFonts w:cs="Tahoma"/>
                <w:b/>
                <w:szCs w:val="20"/>
              </w:rPr>
            </w:pPr>
            <w:r>
              <w:rPr>
                <w:rFonts w:cs="Tahoma"/>
                <w:b/>
                <w:szCs w:val="20"/>
              </w:rPr>
              <w:t>Activités</w:t>
            </w:r>
          </w:p>
        </w:tc>
        <w:tc>
          <w:tcPr>
            <w:tcW w:w="7255" w:type="dxa"/>
          </w:tcPr>
          <w:p w14:paraId="38DEECC7" w14:textId="77777777" w:rsidR="0079688A" w:rsidRDefault="0079688A">
            <w:pPr>
              <w:rPr>
                <w:rFonts w:cs="Tahoma"/>
                <w:b/>
                <w:szCs w:val="20"/>
              </w:rPr>
            </w:pPr>
          </w:p>
          <w:tbl>
            <w:tblPr>
              <w:tblStyle w:val="Grigliatabella"/>
              <w:tblW w:w="0" w:type="auto"/>
              <w:tblLook w:val="04A0" w:firstRow="1" w:lastRow="0" w:firstColumn="1" w:lastColumn="0" w:noHBand="0" w:noVBand="1"/>
            </w:tblPr>
            <w:tblGrid>
              <w:gridCol w:w="3512"/>
              <w:gridCol w:w="3512"/>
            </w:tblGrid>
            <w:tr w:rsidR="007E4588" w:rsidRPr="004A63BB" w14:paraId="6F4C5BBF" w14:textId="77777777" w:rsidTr="007E4588">
              <w:tc>
                <w:tcPr>
                  <w:tcW w:w="3512" w:type="dxa"/>
                </w:tcPr>
                <w:p w14:paraId="47FB806B" w14:textId="5F689231" w:rsidR="007E4588" w:rsidRPr="0078536F" w:rsidRDefault="007E4588">
                  <w:pPr>
                    <w:rPr>
                      <w:rFonts w:cs="Tahoma"/>
                      <w:b/>
                      <w:szCs w:val="20"/>
                    </w:rPr>
                  </w:pPr>
                  <w:r w:rsidRPr="0078536F">
                    <w:rPr>
                      <w:rFonts w:cs="Tahoma"/>
                      <w:b/>
                      <w:szCs w:val="20"/>
                    </w:rPr>
                    <w:t>Activités OS1</w:t>
                  </w:r>
                </w:p>
              </w:tc>
              <w:tc>
                <w:tcPr>
                  <w:tcW w:w="3512" w:type="dxa"/>
                </w:tcPr>
                <w:p w14:paraId="167A5CF2" w14:textId="49BD398B" w:rsidR="007E4588" w:rsidRPr="0078536F" w:rsidRDefault="007E4588">
                  <w:pPr>
                    <w:rPr>
                      <w:rFonts w:cs="Tahoma"/>
                      <w:b/>
                      <w:szCs w:val="20"/>
                    </w:rPr>
                  </w:pPr>
                  <w:r w:rsidRPr="0078536F">
                    <w:rPr>
                      <w:rFonts w:cs="Tahoma"/>
                      <w:b/>
                      <w:szCs w:val="20"/>
                    </w:rPr>
                    <w:t>Indicateurs</w:t>
                  </w:r>
                </w:p>
              </w:tc>
            </w:tr>
            <w:tr w:rsidR="004A63BB" w14:paraId="69043698" w14:textId="77777777" w:rsidTr="004A63BB">
              <w:tc>
                <w:tcPr>
                  <w:tcW w:w="3512" w:type="dxa"/>
                </w:tcPr>
                <w:p w14:paraId="62709A08" w14:textId="6E4118D8" w:rsidR="004A63BB" w:rsidRDefault="004A63BB">
                  <w:pPr>
                    <w:rPr>
                      <w:szCs w:val="22"/>
                    </w:rPr>
                  </w:pPr>
                  <w:r>
                    <w:rPr>
                      <w:rFonts w:cs="Tahoma"/>
                      <w:szCs w:val="20"/>
                    </w:rPr>
                    <w:t>A1</w:t>
                  </w:r>
                  <w:r w:rsidR="00134D95">
                    <w:rPr>
                      <w:rFonts w:cs="Tahoma"/>
                      <w:szCs w:val="20"/>
                    </w:rPr>
                    <w:t>.1</w:t>
                  </w:r>
                  <w:r>
                    <w:rPr>
                      <w:rFonts w:cs="Tahoma"/>
                      <w:szCs w:val="20"/>
                    </w:rPr>
                    <w:t xml:space="preserve"> : </w:t>
                  </w:r>
                  <w:r w:rsidRPr="00317A87">
                    <w:rPr>
                      <w:i/>
                      <w:szCs w:val="22"/>
                    </w:rPr>
                    <w:t>Un séminaire de formation des formateurs est réalisé pour chaque province</w:t>
                  </w:r>
                  <w:r>
                    <w:rPr>
                      <w:szCs w:val="22"/>
                    </w:rPr>
                    <w:t>.</w:t>
                  </w:r>
                </w:p>
                <w:p w14:paraId="12835602" w14:textId="2CA156D1" w:rsidR="004A63BB" w:rsidRDefault="004A63BB" w:rsidP="004A63BB">
                  <w:pPr>
                    <w:rPr>
                      <w:szCs w:val="22"/>
                    </w:rPr>
                  </w:pPr>
                  <w:r>
                    <w:rPr>
                      <w:szCs w:val="22"/>
                    </w:rPr>
                    <w:t>Sous la supervision du Ministère de l’Education, pour chaque province est organisé un séminaire de 13 jours de cours</w:t>
                  </w:r>
                  <w:r w:rsidR="00F43E8A">
                    <w:rPr>
                      <w:szCs w:val="22"/>
                    </w:rPr>
                    <w:t> ; composé</w:t>
                  </w:r>
                  <w:r w:rsidR="003655FA">
                    <w:rPr>
                      <w:szCs w:val="22"/>
                    </w:rPr>
                    <w:t xml:space="preserve"> de</w:t>
                  </w:r>
                  <w:r w:rsidR="00F43E8A">
                    <w:rPr>
                      <w:szCs w:val="22"/>
                    </w:rPr>
                    <w:t xml:space="preserve"> </w:t>
                  </w:r>
                  <w:r>
                    <w:rPr>
                      <w:szCs w:val="22"/>
                    </w:rPr>
                    <w:t xml:space="preserve">50 participants par province </w:t>
                  </w:r>
                  <w:r w:rsidR="00F43E8A">
                    <w:rPr>
                      <w:szCs w:val="22"/>
                    </w:rPr>
                    <w:t>et assuré par deux</w:t>
                  </w:r>
                  <w:r>
                    <w:rPr>
                      <w:szCs w:val="22"/>
                    </w:rPr>
                    <w:t xml:space="preserve"> experts </w:t>
                  </w:r>
                  <w:r w:rsidR="00F43E8A">
                    <w:rPr>
                      <w:szCs w:val="22"/>
                    </w:rPr>
                    <w:t>issus de l’EPST</w:t>
                  </w:r>
                  <w:r w:rsidR="00F43E8A">
                    <w:rPr>
                      <w:rStyle w:val="Rimandonotaapidipagina"/>
                      <w:szCs w:val="22"/>
                    </w:rPr>
                    <w:footnoteReference w:id="1"/>
                  </w:r>
                  <w:r w:rsidR="00F43E8A">
                    <w:rPr>
                      <w:szCs w:val="22"/>
                    </w:rPr>
                    <w:t xml:space="preserve"> et </w:t>
                  </w:r>
                  <w:r>
                    <w:rPr>
                      <w:szCs w:val="22"/>
                    </w:rPr>
                    <w:t>du CPCC</w:t>
                  </w:r>
                  <w:r>
                    <w:rPr>
                      <w:rStyle w:val="Rimandonotaapidipagina"/>
                      <w:szCs w:val="22"/>
                    </w:rPr>
                    <w:footnoteReference w:id="2"/>
                  </w:r>
                  <w:r>
                    <w:rPr>
                      <w:szCs w:val="22"/>
                    </w:rPr>
                    <w:t>.</w:t>
                  </w:r>
                </w:p>
                <w:p w14:paraId="0E3D769A" w14:textId="77777777" w:rsidR="00183BAD" w:rsidRDefault="00183BAD" w:rsidP="004A63BB">
                  <w:pPr>
                    <w:rPr>
                      <w:szCs w:val="22"/>
                    </w:rPr>
                  </w:pPr>
                </w:p>
                <w:p w14:paraId="3F1C41F8" w14:textId="53703ACE" w:rsidR="00183BAD" w:rsidRDefault="009E1A1B" w:rsidP="004A63BB">
                  <w:pPr>
                    <w:rPr>
                      <w:szCs w:val="22"/>
                    </w:rPr>
                  </w:pPr>
                  <w:r>
                    <w:rPr>
                      <w:szCs w:val="22"/>
                    </w:rPr>
                    <w:t>A1.2</w:t>
                  </w:r>
                  <w:r w:rsidR="00183BAD">
                    <w:rPr>
                      <w:szCs w:val="22"/>
                    </w:rPr>
                    <w:t xml:space="preserve"> : </w:t>
                  </w:r>
                  <w:r w:rsidR="00183BAD" w:rsidRPr="00183BAD">
                    <w:rPr>
                      <w:i/>
                      <w:szCs w:val="22"/>
                    </w:rPr>
                    <w:t>Un contrôle de la qualité des cours est réalisé</w:t>
                  </w:r>
                  <w:r w:rsidR="00183BAD">
                    <w:rPr>
                      <w:i/>
                      <w:szCs w:val="22"/>
                    </w:rPr>
                    <w:t>.</w:t>
                  </w:r>
                </w:p>
                <w:p w14:paraId="4BBF1B95" w14:textId="77777777" w:rsidR="0078536F" w:rsidRDefault="00183BAD" w:rsidP="004A63BB">
                  <w:pPr>
                    <w:rPr>
                      <w:szCs w:val="22"/>
                    </w:rPr>
                  </w:pPr>
                  <w:r>
                    <w:rPr>
                      <w:szCs w:val="22"/>
                    </w:rPr>
                    <w:t>Les représentants du Ministère se chargent de réaliser des questionnaires pour récolter des informations sur l’appréciation des formations.</w:t>
                  </w:r>
                </w:p>
                <w:p w14:paraId="138CD64B" w14:textId="77777777" w:rsidR="009E1A1B" w:rsidRDefault="009E1A1B" w:rsidP="004A63BB">
                  <w:pPr>
                    <w:rPr>
                      <w:szCs w:val="22"/>
                    </w:rPr>
                  </w:pPr>
                </w:p>
                <w:p w14:paraId="1D05AC7A" w14:textId="600E0588" w:rsidR="009E1A1B" w:rsidRDefault="009E1A1B" w:rsidP="004A63BB">
                  <w:pPr>
                    <w:rPr>
                      <w:szCs w:val="22"/>
                    </w:rPr>
                  </w:pPr>
                  <w:r>
                    <w:rPr>
                      <w:szCs w:val="22"/>
                    </w:rPr>
                    <w:t>A1.3 : un rapport est produit par le Ministère par rapport à la réalisation des formations</w:t>
                  </w:r>
                </w:p>
                <w:p w14:paraId="747BF9BB" w14:textId="77777777" w:rsidR="009E1A1B" w:rsidRDefault="009E1A1B" w:rsidP="004A63BB">
                  <w:pPr>
                    <w:rPr>
                      <w:szCs w:val="22"/>
                    </w:rPr>
                  </w:pPr>
                </w:p>
                <w:p w14:paraId="32C79B62" w14:textId="6006BB22" w:rsidR="0078536F" w:rsidRPr="0078536F" w:rsidRDefault="0078536F" w:rsidP="004A63BB">
                  <w:pPr>
                    <w:rPr>
                      <w:szCs w:val="22"/>
                    </w:rPr>
                  </w:pPr>
                </w:p>
              </w:tc>
              <w:tc>
                <w:tcPr>
                  <w:tcW w:w="3512" w:type="dxa"/>
                </w:tcPr>
                <w:p w14:paraId="5B49EED6" w14:textId="77777777" w:rsidR="004A63BB" w:rsidRDefault="004A63BB">
                  <w:pPr>
                    <w:rPr>
                      <w:szCs w:val="22"/>
                    </w:rPr>
                  </w:pPr>
                  <w:r>
                    <w:rPr>
                      <w:szCs w:val="22"/>
                    </w:rPr>
                    <w:t>- 37 séminaires au total sont réalisés</w:t>
                  </w:r>
                </w:p>
                <w:p w14:paraId="66FBBD05" w14:textId="59D75E4F" w:rsidR="004A63BB" w:rsidRDefault="004A63BB">
                  <w:pPr>
                    <w:rPr>
                      <w:szCs w:val="22"/>
                    </w:rPr>
                  </w:pPr>
                  <w:r>
                    <w:rPr>
                      <w:szCs w:val="22"/>
                    </w:rPr>
                    <w:t xml:space="preserve">- </w:t>
                  </w:r>
                  <w:r w:rsidR="00A95C8F">
                    <w:rPr>
                      <w:szCs w:val="22"/>
                    </w:rPr>
                    <w:t xml:space="preserve">1850 formateurs sont formés et </w:t>
                  </w:r>
                  <w:r w:rsidR="00740C20">
                    <w:rPr>
                      <w:szCs w:val="22"/>
                    </w:rPr>
                    <w:t xml:space="preserve">sont </w:t>
                  </w:r>
                  <w:r w:rsidR="00A95C8F">
                    <w:rPr>
                      <w:szCs w:val="22"/>
                    </w:rPr>
                    <w:t>en mesure de donner des cours en comptabilité informatisée.</w:t>
                  </w:r>
                </w:p>
                <w:p w14:paraId="628F692B" w14:textId="77777777" w:rsidR="00183BAD" w:rsidRDefault="00183BAD">
                  <w:pPr>
                    <w:rPr>
                      <w:szCs w:val="22"/>
                    </w:rPr>
                  </w:pPr>
                </w:p>
                <w:p w14:paraId="32C2763B" w14:textId="77777777" w:rsidR="00183BAD" w:rsidRDefault="00183BAD">
                  <w:pPr>
                    <w:rPr>
                      <w:szCs w:val="22"/>
                    </w:rPr>
                  </w:pPr>
                </w:p>
                <w:p w14:paraId="693E8694" w14:textId="77777777" w:rsidR="00183BAD" w:rsidRDefault="00183BAD">
                  <w:pPr>
                    <w:rPr>
                      <w:szCs w:val="22"/>
                    </w:rPr>
                  </w:pPr>
                </w:p>
                <w:p w14:paraId="1EBDD11B" w14:textId="77777777" w:rsidR="00183BAD" w:rsidRDefault="00183BAD">
                  <w:pPr>
                    <w:rPr>
                      <w:szCs w:val="22"/>
                    </w:rPr>
                  </w:pPr>
                </w:p>
                <w:p w14:paraId="730BBD84" w14:textId="77777777" w:rsidR="00183BAD" w:rsidRDefault="00183BAD">
                  <w:pPr>
                    <w:rPr>
                      <w:szCs w:val="22"/>
                    </w:rPr>
                  </w:pPr>
                </w:p>
                <w:p w14:paraId="24726073" w14:textId="77777777" w:rsidR="00183BAD" w:rsidRDefault="00183BAD">
                  <w:pPr>
                    <w:rPr>
                      <w:szCs w:val="22"/>
                    </w:rPr>
                  </w:pPr>
                </w:p>
                <w:p w14:paraId="14F724F9" w14:textId="4182ECEA" w:rsidR="00183BAD" w:rsidRDefault="00740C20">
                  <w:pPr>
                    <w:rPr>
                      <w:szCs w:val="22"/>
                    </w:rPr>
                  </w:pPr>
                  <w:r>
                    <w:rPr>
                      <w:szCs w:val="22"/>
                    </w:rPr>
                    <w:t>- Nombre de questionnaire réalisé</w:t>
                  </w:r>
                </w:p>
                <w:p w14:paraId="685233E1" w14:textId="77777777" w:rsidR="009E1A1B" w:rsidRDefault="009E1A1B">
                  <w:pPr>
                    <w:rPr>
                      <w:szCs w:val="22"/>
                    </w:rPr>
                  </w:pPr>
                </w:p>
                <w:p w14:paraId="349D2D42" w14:textId="77777777" w:rsidR="009E1A1B" w:rsidRDefault="009E1A1B">
                  <w:pPr>
                    <w:rPr>
                      <w:szCs w:val="22"/>
                    </w:rPr>
                  </w:pPr>
                </w:p>
                <w:p w14:paraId="0CDE13BF" w14:textId="77777777" w:rsidR="009E1A1B" w:rsidRDefault="009E1A1B">
                  <w:pPr>
                    <w:rPr>
                      <w:szCs w:val="22"/>
                    </w:rPr>
                  </w:pPr>
                </w:p>
                <w:p w14:paraId="3EA846E6" w14:textId="77777777" w:rsidR="009E1A1B" w:rsidRDefault="009E1A1B">
                  <w:pPr>
                    <w:rPr>
                      <w:szCs w:val="22"/>
                    </w:rPr>
                  </w:pPr>
                </w:p>
                <w:p w14:paraId="58B4CE74" w14:textId="77777777" w:rsidR="009E1A1B" w:rsidRDefault="009E1A1B">
                  <w:pPr>
                    <w:rPr>
                      <w:szCs w:val="22"/>
                    </w:rPr>
                  </w:pPr>
                </w:p>
                <w:p w14:paraId="2B611D5F" w14:textId="77777777" w:rsidR="009E1A1B" w:rsidRDefault="009E1A1B">
                  <w:pPr>
                    <w:rPr>
                      <w:szCs w:val="22"/>
                    </w:rPr>
                  </w:pPr>
                </w:p>
                <w:p w14:paraId="47B08833" w14:textId="77777777" w:rsidR="009E1A1B" w:rsidRDefault="009E1A1B">
                  <w:pPr>
                    <w:rPr>
                      <w:szCs w:val="22"/>
                    </w:rPr>
                  </w:pPr>
                </w:p>
                <w:p w14:paraId="2EA0C722" w14:textId="3649D32B" w:rsidR="009E1A1B" w:rsidRDefault="00A21F41">
                  <w:pPr>
                    <w:rPr>
                      <w:rFonts w:cs="Tahoma"/>
                      <w:b/>
                      <w:szCs w:val="20"/>
                    </w:rPr>
                  </w:pPr>
                  <w:r>
                    <w:rPr>
                      <w:szCs w:val="22"/>
                    </w:rPr>
                    <w:t>- R</w:t>
                  </w:r>
                  <w:r w:rsidR="009E1A1B">
                    <w:rPr>
                      <w:szCs w:val="22"/>
                    </w:rPr>
                    <w:t>apport par formation</w:t>
                  </w:r>
                  <w:r w:rsidR="00740C20">
                    <w:rPr>
                      <w:szCs w:val="22"/>
                    </w:rPr>
                    <w:t xml:space="preserve"> élaboré</w:t>
                  </w:r>
                </w:p>
              </w:tc>
            </w:tr>
            <w:tr w:rsidR="0078536F" w14:paraId="4BD6C341" w14:textId="77777777" w:rsidTr="0078536F">
              <w:tc>
                <w:tcPr>
                  <w:tcW w:w="3512" w:type="dxa"/>
                </w:tcPr>
                <w:p w14:paraId="0A30A8D2" w14:textId="090D7F64" w:rsidR="0078536F" w:rsidRDefault="0078536F">
                  <w:pPr>
                    <w:rPr>
                      <w:rFonts w:cs="Tahoma"/>
                      <w:b/>
                      <w:szCs w:val="20"/>
                    </w:rPr>
                  </w:pPr>
                  <w:r>
                    <w:rPr>
                      <w:rFonts w:cs="Tahoma"/>
                      <w:b/>
                      <w:szCs w:val="20"/>
                    </w:rPr>
                    <w:t>Activités OS2</w:t>
                  </w:r>
                </w:p>
              </w:tc>
              <w:tc>
                <w:tcPr>
                  <w:tcW w:w="3512" w:type="dxa"/>
                </w:tcPr>
                <w:p w14:paraId="07C92D2D" w14:textId="65DCCC95" w:rsidR="0078536F" w:rsidRDefault="0078536F">
                  <w:pPr>
                    <w:rPr>
                      <w:rFonts w:cs="Tahoma"/>
                      <w:b/>
                      <w:szCs w:val="20"/>
                    </w:rPr>
                  </w:pPr>
                  <w:r>
                    <w:rPr>
                      <w:rFonts w:cs="Tahoma"/>
                      <w:b/>
                      <w:szCs w:val="20"/>
                    </w:rPr>
                    <w:t>Indicateurs</w:t>
                  </w:r>
                </w:p>
              </w:tc>
            </w:tr>
            <w:tr w:rsidR="0078536F" w14:paraId="7276B47A" w14:textId="77777777" w:rsidTr="0078536F">
              <w:tc>
                <w:tcPr>
                  <w:tcW w:w="3512" w:type="dxa"/>
                </w:tcPr>
                <w:p w14:paraId="4EF6B18B" w14:textId="112770DA" w:rsidR="0078536F" w:rsidRDefault="00134D95">
                  <w:pPr>
                    <w:rPr>
                      <w:rFonts w:cs="Tahoma"/>
                      <w:szCs w:val="20"/>
                    </w:rPr>
                  </w:pPr>
                  <w:r>
                    <w:rPr>
                      <w:rFonts w:cs="Tahoma"/>
                      <w:szCs w:val="20"/>
                    </w:rPr>
                    <w:t>A2.1</w:t>
                  </w:r>
                  <w:r w:rsidR="0078536F">
                    <w:rPr>
                      <w:rFonts w:cs="Tahoma"/>
                      <w:szCs w:val="20"/>
                    </w:rPr>
                    <w:t xml:space="preserve"> : Le matériel didactique digitalisé est </w:t>
                  </w:r>
                  <w:r w:rsidR="00F43E8A">
                    <w:rPr>
                      <w:rFonts w:cs="Tahoma"/>
                      <w:szCs w:val="20"/>
                    </w:rPr>
                    <w:t>créé</w:t>
                  </w:r>
                  <w:r w:rsidR="0078536F">
                    <w:rPr>
                      <w:rFonts w:cs="Tahoma"/>
                      <w:szCs w:val="20"/>
                    </w:rPr>
                    <w:t xml:space="preserve">. </w:t>
                  </w:r>
                </w:p>
                <w:p w14:paraId="520A3D0A" w14:textId="6DD4817F" w:rsidR="0078536F" w:rsidRDefault="0078536F">
                  <w:pPr>
                    <w:rPr>
                      <w:rFonts w:cs="Tahoma"/>
                      <w:szCs w:val="20"/>
                    </w:rPr>
                  </w:pPr>
                </w:p>
                <w:p w14:paraId="0C78CF50" w14:textId="7A32CB39" w:rsidR="0078536F" w:rsidRDefault="0078536F">
                  <w:pPr>
                    <w:rPr>
                      <w:rFonts w:cs="Tahoma"/>
                      <w:szCs w:val="20"/>
                    </w:rPr>
                  </w:pPr>
                  <w:r>
                    <w:rPr>
                      <w:rFonts w:cs="Tahoma"/>
                      <w:szCs w:val="20"/>
                    </w:rPr>
                    <w:t>A2</w:t>
                  </w:r>
                  <w:r w:rsidR="00134D95">
                    <w:rPr>
                      <w:rFonts w:cs="Tahoma"/>
                      <w:szCs w:val="20"/>
                    </w:rPr>
                    <w:t>.2</w:t>
                  </w:r>
                  <w:r>
                    <w:rPr>
                      <w:rFonts w:cs="Tahoma"/>
                      <w:szCs w:val="20"/>
                    </w:rPr>
                    <w:t xml:space="preserve"> : une plateforme de partage du matériel est constituée. </w:t>
                  </w:r>
                </w:p>
                <w:p w14:paraId="0B062B6D" w14:textId="77777777" w:rsidR="0078536F" w:rsidRDefault="0078536F">
                  <w:pPr>
                    <w:rPr>
                      <w:rFonts w:cs="Tahoma"/>
                      <w:szCs w:val="20"/>
                    </w:rPr>
                  </w:pPr>
                </w:p>
                <w:p w14:paraId="06BCB33E" w14:textId="09AB481D" w:rsidR="0078536F" w:rsidRPr="0078536F" w:rsidRDefault="0078536F">
                  <w:pPr>
                    <w:rPr>
                      <w:rFonts w:cs="Tahoma"/>
                      <w:szCs w:val="20"/>
                    </w:rPr>
                  </w:pPr>
                  <w:r>
                    <w:rPr>
                      <w:rFonts w:cs="Tahoma"/>
                      <w:szCs w:val="20"/>
                    </w:rPr>
                    <w:t>A</w:t>
                  </w:r>
                  <w:r w:rsidR="00134D95">
                    <w:rPr>
                      <w:rFonts w:cs="Tahoma"/>
                      <w:szCs w:val="20"/>
                    </w:rPr>
                    <w:t>2.</w:t>
                  </w:r>
                  <w:r>
                    <w:rPr>
                      <w:rFonts w:cs="Tahoma"/>
                      <w:szCs w:val="20"/>
                    </w:rPr>
                    <w:t xml:space="preserve">3 : des évaluations de la qualité du matériel sont effectuées. </w:t>
                  </w:r>
                </w:p>
                <w:p w14:paraId="2E3A48CC" w14:textId="77777777" w:rsidR="0078536F" w:rsidRDefault="0078536F">
                  <w:pPr>
                    <w:rPr>
                      <w:rFonts w:cs="Tahoma"/>
                      <w:b/>
                      <w:szCs w:val="20"/>
                    </w:rPr>
                  </w:pPr>
                </w:p>
              </w:tc>
              <w:tc>
                <w:tcPr>
                  <w:tcW w:w="3512" w:type="dxa"/>
                </w:tcPr>
                <w:p w14:paraId="25A8EFA9" w14:textId="77777777" w:rsidR="0078536F" w:rsidRDefault="00A21F41">
                  <w:pPr>
                    <w:rPr>
                      <w:rFonts w:cs="Tahoma"/>
                      <w:szCs w:val="20"/>
                    </w:rPr>
                  </w:pPr>
                  <w:r>
                    <w:rPr>
                      <w:rFonts w:cs="Tahoma"/>
                      <w:szCs w:val="20"/>
                    </w:rPr>
                    <w:lastRenderedPageBreak/>
                    <w:t>- matériel didactique</w:t>
                  </w:r>
                  <w:r w:rsidR="003E5266">
                    <w:rPr>
                      <w:rFonts w:cs="Tahoma"/>
                      <w:szCs w:val="20"/>
                    </w:rPr>
                    <w:t xml:space="preserve"> créé</w:t>
                  </w:r>
                </w:p>
                <w:p w14:paraId="5CFEEBC7" w14:textId="77777777" w:rsidR="00CF22EA" w:rsidRDefault="00CF22EA">
                  <w:pPr>
                    <w:rPr>
                      <w:rFonts w:cs="Tahoma"/>
                      <w:szCs w:val="20"/>
                    </w:rPr>
                  </w:pPr>
                </w:p>
                <w:p w14:paraId="3AA812C6" w14:textId="77777777" w:rsidR="00CF22EA" w:rsidRDefault="00CF22EA">
                  <w:pPr>
                    <w:rPr>
                      <w:rFonts w:cs="Tahoma"/>
                      <w:szCs w:val="20"/>
                    </w:rPr>
                  </w:pPr>
                </w:p>
                <w:p w14:paraId="48516CD8" w14:textId="5A24117A" w:rsidR="00CF22EA" w:rsidRDefault="003655FA">
                  <w:pPr>
                    <w:rPr>
                      <w:rFonts w:cs="Tahoma"/>
                      <w:szCs w:val="20"/>
                    </w:rPr>
                  </w:pPr>
                  <w:r>
                    <w:rPr>
                      <w:rFonts w:cs="Tahoma"/>
                      <w:szCs w:val="20"/>
                    </w:rPr>
                    <w:t xml:space="preserve">- </w:t>
                  </w:r>
                  <w:r w:rsidR="00CF22EA">
                    <w:rPr>
                      <w:rFonts w:cs="Tahoma"/>
                      <w:szCs w:val="20"/>
                    </w:rPr>
                    <w:t>Plateforme de partage du matériel créée</w:t>
                  </w:r>
                </w:p>
                <w:p w14:paraId="2A182585" w14:textId="77777777" w:rsidR="00CF22EA" w:rsidRDefault="00CF22EA">
                  <w:pPr>
                    <w:rPr>
                      <w:rFonts w:cs="Tahoma"/>
                      <w:szCs w:val="20"/>
                    </w:rPr>
                  </w:pPr>
                </w:p>
                <w:p w14:paraId="0D077741" w14:textId="448C6C50" w:rsidR="00CF22EA" w:rsidRPr="0078536F" w:rsidRDefault="003655FA">
                  <w:pPr>
                    <w:rPr>
                      <w:rFonts w:cs="Tahoma"/>
                      <w:szCs w:val="20"/>
                    </w:rPr>
                  </w:pPr>
                  <w:r>
                    <w:rPr>
                      <w:rFonts w:cs="Tahoma"/>
                      <w:szCs w:val="20"/>
                    </w:rPr>
                    <w:t xml:space="preserve">- </w:t>
                  </w:r>
                  <w:r w:rsidR="00CF22EA">
                    <w:rPr>
                      <w:rFonts w:cs="Tahoma"/>
                      <w:szCs w:val="20"/>
                    </w:rPr>
                    <w:t xml:space="preserve">Evaluation réalisée </w:t>
                  </w:r>
                </w:p>
              </w:tc>
            </w:tr>
          </w:tbl>
          <w:p w14:paraId="79D0AFD5" w14:textId="76C97847" w:rsidR="007E4588" w:rsidRDefault="007E4588">
            <w:pPr>
              <w:rPr>
                <w:rFonts w:cs="Tahoma"/>
                <w:b/>
                <w:szCs w:val="20"/>
              </w:rPr>
            </w:pPr>
          </w:p>
        </w:tc>
      </w:tr>
    </w:tbl>
    <w:p w14:paraId="4ABB9E53" w14:textId="77777777" w:rsidR="00C163E6" w:rsidRDefault="00C163E6" w:rsidP="00C163E6"/>
    <w:tbl>
      <w:tblPr>
        <w:tblStyle w:val="Grigliatabella"/>
        <w:tblW w:w="0" w:type="auto"/>
        <w:tblLook w:val="04A0" w:firstRow="1" w:lastRow="0" w:firstColumn="1" w:lastColumn="0" w:noHBand="0" w:noVBand="1"/>
      </w:tblPr>
      <w:tblGrid>
        <w:gridCol w:w="1951"/>
        <w:gridCol w:w="7255"/>
      </w:tblGrid>
      <w:tr w:rsidR="00FD2E3D" w14:paraId="64524542" w14:textId="77777777" w:rsidTr="00FD2E3D">
        <w:tc>
          <w:tcPr>
            <w:tcW w:w="1951" w:type="dxa"/>
          </w:tcPr>
          <w:p w14:paraId="74590CC8" w14:textId="485025C8" w:rsidR="00FD2E3D" w:rsidRDefault="00FD2E3D" w:rsidP="00C163E6">
            <w:pPr>
              <w:rPr>
                <w:b/>
              </w:rPr>
            </w:pPr>
            <w:r>
              <w:rPr>
                <w:b/>
              </w:rPr>
              <w:t>Résultats attendus</w:t>
            </w:r>
          </w:p>
        </w:tc>
        <w:tc>
          <w:tcPr>
            <w:tcW w:w="7255" w:type="dxa"/>
          </w:tcPr>
          <w:p w14:paraId="2AFCB749" w14:textId="77777777" w:rsidR="001224DB" w:rsidRDefault="002D36B9" w:rsidP="002D36B9">
            <w:pPr>
              <w:numPr>
                <w:ilvl w:val="0"/>
                <w:numId w:val="5"/>
              </w:numPr>
            </w:pPr>
            <w:r w:rsidRPr="002D36B9">
              <w:t xml:space="preserve">50 formateurs par province (pour un total de 1850) de la filière technique commerciale sont formés, </w:t>
            </w:r>
          </w:p>
          <w:p w14:paraId="51F78C51" w14:textId="64769020" w:rsidR="002D36B9" w:rsidRDefault="001224DB" w:rsidP="002D36B9">
            <w:pPr>
              <w:numPr>
                <w:ilvl w:val="0"/>
                <w:numId w:val="5"/>
              </w:numPr>
            </w:pPr>
            <w:r>
              <w:t xml:space="preserve">1850 formateurs sont </w:t>
            </w:r>
            <w:r w:rsidR="00CF22EA">
              <w:t>équipés en</w:t>
            </w:r>
            <w:r w:rsidR="002D36B9" w:rsidRPr="002D36B9">
              <w:t xml:space="preserve"> logiciel et matériel didactique et </w:t>
            </w:r>
            <w:r w:rsidR="00CF22EA">
              <w:t xml:space="preserve">sont </w:t>
            </w:r>
            <w:r w:rsidR="002D36B9" w:rsidRPr="002D36B9">
              <w:t xml:space="preserve">en mesure de proposer les formations aux enseignantes des écoles provinciales. </w:t>
            </w:r>
          </w:p>
          <w:p w14:paraId="20CEEA6E" w14:textId="5AA48085" w:rsidR="002D36B9" w:rsidRPr="002D36B9" w:rsidRDefault="002D36B9" w:rsidP="002D36B9">
            <w:pPr>
              <w:numPr>
                <w:ilvl w:val="0"/>
                <w:numId w:val="5"/>
              </w:numPr>
            </w:pPr>
            <w:r w:rsidRPr="002D36B9">
              <w:t xml:space="preserve">Le matériel didactique digitalisé est </w:t>
            </w:r>
            <w:r w:rsidR="00F43E8A" w:rsidRPr="002D36B9">
              <w:t>créé</w:t>
            </w:r>
            <w:r w:rsidRPr="002D36B9">
              <w:t xml:space="preserve"> et redistribué aux enseignants à l’aide de plateforme de partage. </w:t>
            </w:r>
          </w:p>
          <w:p w14:paraId="174C4726" w14:textId="77777777" w:rsidR="00FD2E3D" w:rsidRDefault="00FD2E3D" w:rsidP="00C163E6">
            <w:pPr>
              <w:rPr>
                <w:b/>
              </w:rPr>
            </w:pPr>
          </w:p>
        </w:tc>
      </w:tr>
    </w:tbl>
    <w:p w14:paraId="021CFC8C" w14:textId="77777777" w:rsidR="00134D95" w:rsidRDefault="00134D95" w:rsidP="00C163E6">
      <w:pPr>
        <w:rPr>
          <w:b/>
        </w:rPr>
      </w:pPr>
    </w:p>
    <w:p w14:paraId="4D8906A5" w14:textId="77777777" w:rsidR="00C163E6" w:rsidRPr="00C163E6" w:rsidRDefault="00C163E6" w:rsidP="00C163E6">
      <w:pPr>
        <w:rPr>
          <w:b/>
        </w:rPr>
      </w:pPr>
      <w:r w:rsidRPr="00C163E6">
        <w:rPr>
          <w:b/>
        </w:rPr>
        <w:t>Budget et modalité de financement</w:t>
      </w:r>
    </w:p>
    <w:p w14:paraId="1CD0C0E3" w14:textId="76FBECC8" w:rsidR="00C163E6" w:rsidRDefault="00C163E6" w:rsidP="00C163E6">
      <w:pPr>
        <w:jc w:val="both"/>
      </w:pPr>
      <w:r w:rsidRPr="00F66EF3">
        <w:t xml:space="preserve">La totalité des coûts </w:t>
      </w:r>
      <w:r>
        <w:t>sont</w:t>
      </w:r>
      <w:r w:rsidRPr="00F66EF3">
        <w:t xml:space="preserve"> pris en charge par les</w:t>
      </w:r>
      <w:r>
        <w:t xml:space="preserve"> institutions provinciales qui s’occupent du secteur de </w:t>
      </w:r>
      <w:r w:rsidR="00F43E8A">
        <w:t>l’enseignement</w:t>
      </w:r>
      <w:r>
        <w:t xml:space="preserve">. </w:t>
      </w:r>
      <w:r w:rsidRPr="00F66EF3">
        <w:t>Compte tenu de la situation économique</w:t>
      </w:r>
      <w:r>
        <w:t xml:space="preserve"> difficile dans laquelle se trouvent les provinces, est envisagée une récolte de financements externe correspondante au 50% des coûts. Pour élargir les possibilités de financement</w:t>
      </w:r>
      <w:r w:rsidR="00403A5B">
        <w:t>,</w:t>
      </w:r>
      <w:r>
        <w:t xml:space="preserve"> il a été décidé de procéder de manière dynamique et d’ouvrir la possibilité du financement par province. </w:t>
      </w:r>
      <w:r w:rsidR="008D1C95">
        <w:t>L</w:t>
      </w:r>
      <w:r>
        <w:t xml:space="preserve">es coûts par province dépendent de l’enclavement de la région, de la situation logistique et du nombre effectif de participants. Dans 9 provinces les formations ont déjà eu lieu. </w:t>
      </w:r>
    </w:p>
    <w:p w14:paraId="0F847459" w14:textId="77777777" w:rsidR="00C163E6" w:rsidRDefault="00C163E6" w:rsidP="00C163E6"/>
    <w:p w14:paraId="6770306E" w14:textId="5E2E3765" w:rsidR="00C163E6" w:rsidRPr="00816ECE" w:rsidRDefault="00C163E6" w:rsidP="00C163E6">
      <w:pPr>
        <w:rPr>
          <w:b/>
          <w:i/>
          <w:lang w:val="uz-Cyrl-UZ"/>
        </w:rPr>
      </w:pPr>
      <w:r w:rsidRPr="00816ECE">
        <w:rPr>
          <w:b/>
          <w:i/>
          <w:lang w:val="uz-Cyrl-UZ"/>
        </w:rPr>
        <w:t xml:space="preserve">Budget indicatif pour séminaire </w:t>
      </w:r>
      <w:r w:rsidR="00403A5B">
        <w:rPr>
          <w:b/>
          <w:i/>
          <w:lang w:val="fr-CD"/>
        </w:rPr>
        <w:t xml:space="preserve">en </w:t>
      </w:r>
      <w:r w:rsidRPr="00816ECE">
        <w:rPr>
          <w:b/>
          <w:i/>
          <w:lang w:val="uz-Cyrl-UZ"/>
        </w:rPr>
        <w:t>province</w:t>
      </w:r>
    </w:p>
    <w:tbl>
      <w:tblPr>
        <w:tblStyle w:val="Grigliamedia1-Colore1"/>
        <w:tblW w:w="0" w:type="auto"/>
        <w:tblLook w:val="04A0" w:firstRow="1" w:lastRow="0" w:firstColumn="1" w:lastColumn="0" w:noHBand="0" w:noVBand="1"/>
      </w:tblPr>
      <w:tblGrid>
        <w:gridCol w:w="6782"/>
        <w:gridCol w:w="2484"/>
      </w:tblGrid>
      <w:tr w:rsidR="00C163E6" w14:paraId="6833CFBD" w14:textId="77777777" w:rsidTr="00C163E6">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6782" w:type="dxa"/>
          </w:tcPr>
          <w:p w14:paraId="55FECB58" w14:textId="77777777" w:rsidR="00C163E6" w:rsidRPr="00745E3F" w:rsidRDefault="00C163E6" w:rsidP="00C163E6">
            <w:pPr>
              <w:rPr>
                <w:b w:val="0"/>
              </w:rPr>
            </w:pPr>
            <w:r w:rsidRPr="00745E3F">
              <w:rPr>
                <w:b w:val="0"/>
              </w:rPr>
              <w:t>Logement 2 formateurs (13 nuits)</w:t>
            </w:r>
          </w:p>
        </w:tc>
        <w:tc>
          <w:tcPr>
            <w:tcW w:w="2484" w:type="dxa"/>
          </w:tcPr>
          <w:p w14:paraId="2ACBD193" w14:textId="77777777" w:rsidR="00C163E6" w:rsidRPr="00745E3F" w:rsidRDefault="00C163E6" w:rsidP="00C163E6">
            <w:pPr>
              <w:jc w:val="center"/>
              <w:cnfStyle w:val="100000000000" w:firstRow="1" w:lastRow="0" w:firstColumn="0" w:lastColumn="0" w:oddVBand="0" w:evenVBand="0" w:oddHBand="0" w:evenHBand="0" w:firstRowFirstColumn="0" w:firstRowLastColumn="0" w:lastRowFirstColumn="0" w:lastRowLastColumn="0"/>
              <w:rPr>
                <w:b w:val="0"/>
              </w:rPr>
            </w:pPr>
            <w:r>
              <w:rPr>
                <w:b w:val="0"/>
              </w:rPr>
              <w:t>800</w:t>
            </w:r>
            <w:r w:rsidRPr="00745E3F">
              <w:rPr>
                <w:b w:val="0"/>
              </w:rPr>
              <w:t>,00 $</w:t>
            </w:r>
          </w:p>
        </w:tc>
      </w:tr>
      <w:tr w:rsidR="00C163E6" w14:paraId="7F60F6DD" w14:textId="77777777" w:rsidTr="00C163E6">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782" w:type="dxa"/>
          </w:tcPr>
          <w:p w14:paraId="26B56F9C" w14:textId="77777777" w:rsidR="00C163E6" w:rsidRPr="00745E3F" w:rsidRDefault="00C163E6" w:rsidP="00C163E6">
            <w:pPr>
              <w:rPr>
                <w:b w:val="0"/>
              </w:rPr>
            </w:pPr>
            <w:r w:rsidRPr="00745E3F">
              <w:rPr>
                <w:b w:val="0"/>
              </w:rPr>
              <w:t>Restauration 2 formateurs (2 repas pour 13 jours)</w:t>
            </w:r>
          </w:p>
        </w:tc>
        <w:tc>
          <w:tcPr>
            <w:tcW w:w="2484" w:type="dxa"/>
          </w:tcPr>
          <w:p w14:paraId="1987875F" w14:textId="77777777" w:rsidR="00C163E6" w:rsidRDefault="00C163E6" w:rsidP="00C163E6">
            <w:pPr>
              <w:jc w:val="center"/>
              <w:cnfStyle w:val="000000100000" w:firstRow="0" w:lastRow="0" w:firstColumn="0" w:lastColumn="0" w:oddVBand="0" w:evenVBand="0" w:oddHBand="1" w:evenHBand="0" w:firstRowFirstColumn="0" w:firstRowLastColumn="0" w:lastRowFirstColumn="0" w:lastRowLastColumn="0"/>
            </w:pPr>
            <w:r>
              <w:t>400,00 $</w:t>
            </w:r>
          </w:p>
        </w:tc>
      </w:tr>
      <w:tr w:rsidR="00C163E6" w14:paraId="1C4C6F43" w14:textId="77777777" w:rsidTr="00C163E6">
        <w:trPr>
          <w:trHeight w:val="397"/>
        </w:trPr>
        <w:tc>
          <w:tcPr>
            <w:cnfStyle w:val="001000000000" w:firstRow="0" w:lastRow="0" w:firstColumn="1" w:lastColumn="0" w:oddVBand="0" w:evenVBand="0" w:oddHBand="0" w:evenHBand="0" w:firstRowFirstColumn="0" w:firstRowLastColumn="0" w:lastRowFirstColumn="0" w:lastRowLastColumn="0"/>
            <w:tcW w:w="6782" w:type="dxa"/>
          </w:tcPr>
          <w:p w14:paraId="45EB74B2" w14:textId="6B24BE65" w:rsidR="00C163E6" w:rsidRPr="00745E3F" w:rsidRDefault="00BA37A1" w:rsidP="00C163E6">
            <w:pPr>
              <w:rPr>
                <w:b w:val="0"/>
              </w:rPr>
            </w:pPr>
            <w:r>
              <w:rPr>
                <w:b w:val="0"/>
              </w:rPr>
              <w:t xml:space="preserve">Pause-Repas </w:t>
            </w:r>
            <w:r w:rsidR="00C163E6" w:rsidRPr="00745E3F">
              <w:rPr>
                <w:b w:val="0"/>
              </w:rPr>
              <w:t>52 participants (</w:t>
            </w:r>
            <w:r>
              <w:rPr>
                <w:b w:val="0"/>
              </w:rPr>
              <w:t xml:space="preserve">pour </w:t>
            </w:r>
            <w:r w:rsidR="00C163E6" w:rsidRPr="00745E3F">
              <w:rPr>
                <w:b w:val="0"/>
              </w:rPr>
              <w:t>12 jours)</w:t>
            </w:r>
          </w:p>
        </w:tc>
        <w:tc>
          <w:tcPr>
            <w:tcW w:w="2484" w:type="dxa"/>
          </w:tcPr>
          <w:p w14:paraId="74E8A69B" w14:textId="77777777" w:rsidR="00C163E6" w:rsidRDefault="00C163E6" w:rsidP="00C163E6">
            <w:pPr>
              <w:jc w:val="center"/>
              <w:cnfStyle w:val="000000000000" w:firstRow="0" w:lastRow="0" w:firstColumn="0" w:lastColumn="0" w:oddVBand="0" w:evenVBand="0" w:oddHBand="0" w:evenHBand="0" w:firstRowFirstColumn="0" w:firstRowLastColumn="0" w:lastRowFirstColumn="0" w:lastRowLastColumn="0"/>
            </w:pPr>
            <w:r>
              <w:t>6'000,00 $</w:t>
            </w:r>
          </w:p>
        </w:tc>
      </w:tr>
      <w:tr w:rsidR="00C163E6" w14:paraId="5B627D9B" w14:textId="77777777" w:rsidTr="00C163E6">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782" w:type="dxa"/>
          </w:tcPr>
          <w:p w14:paraId="3B5526FF" w14:textId="77777777" w:rsidR="00C163E6" w:rsidRPr="00745E3F" w:rsidRDefault="00C163E6" w:rsidP="00C163E6">
            <w:pPr>
              <w:rPr>
                <w:b w:val="0"/>
              </w:rPr>
            </w:pPr>
            <w:r w:rsidRPr="00745E3F">
              <w:rPr>
                <w:b w:val="0"/>
              </w:rPr>
              <w:t>Rémunération 2 formateurs (pour 14 jours)</w:t>
            </w:r>
          </w:p>
        </w:tc>
        <w:tc>
          <w:tcPr>
            <w:tcW w:w="2484" w:type="dxa"/>
          </w:tcPr>
          <w:p w14:paraId="4CC5CD51" w14:textId="77777777" w:rsidR="00C163E6" w:rsidRDefault="00C163E6" w:rsidP="00C163E6">
            <w:pPr>
              <w:jc w:val="center"/>
              <w:cnfStyle w:val="000000100000" w:firstRow="0" w:lastRow="0" w:firstColumn="0" w:lastColumn="0" w:oddVBand="0" w:evenVBand="0" w:oddHBand="1" w:evenHBand="0" w:firstRowFirstColumn="0" w:firstRowLastColumn="0" w:lastRowFirstColumn="0" w:lastRowLastColumn="0"/>
            </w:pPr>
            <w:r>
              <w:t>4'000,00 $</w:t>
            </w:r>
          </w:p>
        </w:tc>
      </w:tr>
      <w:tr w:rsidR="00C163E6" w14:paraId="78C15EDF" w14:textId="77777777" w:rsidTr="00C163E6">
        <w:trPr>
          <w:trHeight w:val="276"/>
        </w:trPr>
        <w:tc>
          <w:tcPr>
            <w:cnfStyle w:val="001000000000" w:firstRow="0" w:lastRow="0" w:firstColumn="1" w:lastColumn="0" w:oddVBand="0" w:evenVBand="0" w:oddHBand="0" w:evenHBand="0" w:firstRowFirstColumn="0" w:firstRowLastColumn="0" w:lastRowFirstColumn="0" w:lastRowLastColumn="0"/>
            <w:tcW w:w="6782" w:type="dxa"/>
          </w:tcPr>
          <w:p w14:paraId="6C7993B3" w14:textId="3683A994" w:rsidR="00C163E6" w:rsidRPr="00745E3F" w:rsidRDefault="00BA37A1" w:rsidP="00BA37A1">
            <w:pPr>
              <w:rPr>
                <w:b w:val="0"/>
              </w:rPr>
            </w:pPr>
            <w:r>
              <w:rPr>
                <w:b w:val="0"/>
              </w:rPr>
              <w:t>Titre de v</w:t>
            </w:r>
            <w:r w:rsidR="00C163E6" w:rsidRPr="00745E3F">
              <w:rPr>
                <w:b w:val="0"/>
              </w:rPr>
              <w:t>oyage aller-retour 2 formateur</w:t>
            </w:r>
            <w:r>
              <w:rPr>
                <w:b w:val="0"/>
              </w:rPr>
              <w:t>s</w:t>
            </w:r>
          </w:p>
        </w:tc>
        <w:tc>
          <w:tcPr>
            <w:tcW w:w="2484" w:type="dxa"/>
          </w:tcPr>
          <w:p w14:paraId="0F24258E" w14:textId="77777777" w:rsidR="00C163E6" w:rsidRDefault="00C163E6" w:rsidP="00C163E6">
            <w:pPr>
              <w:jc w:val="center"/>
              <w:cnfStyle w:val="000000000000" w:firstRow="0" w:lastRow="0" w:firstColumn="0" w:lastColumn="0" w:oddVBand="0" w:evenVBand="0" w:oddHBand="0" w:evenHBand="0" w:firstRowFirstColumn="0" w:firstRowLastColumn="0" w:lastRowFirstColumn="0" w:lastRowLastColumn="0"/>
            </w:pPr>
            <w:r>
              <w:t>1'500,00 $</w:t>
            </w:r>
          </w:p>
        </w:tc>
      </w:tr>
    </w:tbl>
    <w:p w14:paraId="2D618A3F" w14:textId="77777777" w:rsidR="00C163E6" w:rsidRDefault="00C163E6" w:rsidP="00C163E6"/>
    <w:tbl>
      <w:tblPr>
        <w:tblStyle w:val="Grigliamedia1-Colore1"/>
        <w:tblW w:w="0" w:type="auto"/>
        <w:tblLook w:val="04A0" w:firstRow="1" w:lastRow="0" w:firstColumn="1" w:lastColumn="0" w:noHBand="0" w:noVBand="1"/>
      </w:tblPr>
      <w:tblGrid>
        <w:gridCol w:w="6782"/>
        <w:gridCol w:w="2484"/>
      </w:tblGrid>
      <w:tr w:rsidR="00C163E6" w:rsidRPr="0059797C" w14:paraId="60B0BA99" w14:textId="77777777" w:rsidTr="00C163E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782" w:type="dxa"/>
          </w:tcPr>
          <w:p w14:paraId="120168D5" w14:textId="740D54ED" w:rsidR="00C163E6" w:rsidRPr="0059797C" w:rsidRDefault="00C163E6" w:rsidP="00C163E6">
            <w:r w:rsidRPr="0059797C">
              <w:t xml:space="preserve">Investissement total </w:t>
            </w:r>
            <w:r w:rsidR="00BA37A1">
              <w:t xml:space="preserve">pour </w:t>
            </w:r>
            <w:r w:rsidRPr="0059797C">
              <w:t xml:space="preserve">un séminaire </w:t>
            </w:r>
          </w:p>
        </w:tc>
        <w:tc>
          <w:tcPr>
            <w:tcW w:w="2484" w:type="dxa"/>
          </w:tcPr>
          <w:p w14:paraId="5B1F73F7" w14:textId="77777777" w:rsidR="00C163E6" w:rsidRPr="0059797C" w:rsidRDefault="00C163E6" w:rsidP="00C163E6">
            <w:pPr>
              <w:jc w:val="center"/>
              <w:cnfStyle w:val="100000000000" w:firstRow="1" w:lastRow="0" w:firstColumn="0" w:lastColumn="0" w:oddVBand="0" w:evenVBand="0" w:oddHBand="0" w:evenHBand="0" w:firstRowFirstColumn="0" w:firstRowLastColumn="0" w:lastRowFirstColumn="0" w:lastRowLastColumn="0"/>
            </w:pPr>
            <w:r w:rsidRPr="0059797C">
              <w:t>12'700,00 $</w:t>
            </w:r>
          </w:p>
        </w:tc>
      </w:tr>
      <w:tr w:rsidR="00C163E6" w:rsidRPr="0059797C" w14:paraId="002C9E25" w14:textId="77777777" w:rsidTr="00C163E6">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782" w:type="dxa"/>
          </w:tcPr>
          <w:p w14:paraId="76F360B0" w14:textId="77777777" w:rsidR="00C163E6" w:rsidRPr="0059797C" w:rsidRDefault="00C163E6" w:rsidP="00C163E6">
            <w:r w:rsidRPr="0059797C">
              <w:t xml:space="preserve">Investissement total pour les 37 provinces </w:t>
            </w:r>
          </w:p>
        </w:tc>
        <w:tc>
          <w:tcPr>
            <w:tcW w:w="2484" w:type="dxa"/>
          </w:tcPr>
          <w:p w14:paraId="71D1295C" w14:textId="77777777" w:rsidR="00C163E6" w:rsidRPr="0059797C" w:rsidRDefault="00C163E6" w:rsidP="00C163E6">
            <w:pPr>
              <w:jc w:val="center"/>
              <w:cnfStyle w:val="000000100000" w:firstRow="0" w:lastRow="0" w:firstColumn="0" w:lastColumn="0" w:oddVBand="0" w:evenVBand="0" w:oddHBand="1" w:evenHBand="0" w:firstRowFirstColumn="0" w:firstRowLastColumn="0" w:lastRowFirstColumn="0" w:lastRowLastColumn="0"/>
              <w:rPr>
                <w:b/>
              </w:rPr>
            </w:pPr>
            <w:r w:rsidRPr="0059797C">
              <w:rPr>
                <w:b/>
              </w:rPr>
              <w:t>427'000,00 $</w:t>
            </w:r>
          </w:p>
        </w:tc>
      </w:tr>
      <w:tr w:rsidR="00E30BD3" w:rsidRPr="0059797C" w14:paraId="39DBE841" w14:textId="77777777" w:rsidTr="00C163E6">
        <w:trPr>
          <w:trHeight w:val="408"/>
        </w:trPr>
        <w:tc>
          <w:tcPr>
            <w:cnfStyle w:val="001000000000" w:firstRow="0" w:lastRow="0" w:firstColumn="1" w:lastColumn="0" w:oddVBand="0" w:evenVBand="0" w:oddHBand="0" w:evenHBand="0" w:firstRowFirstColumn="0" w:firstRowLastColumn="0" w:lastRowFirstColumn="0" w:lastRowLastColumn="0"/>
            <w:tcW w:w="6782" w:type="dxa"/>
          </w:tcPr>
          <w:p w14:paraId="4A03AB6F" w14:textId="5CC929A6" w:rsidR="00E30BD3" w:rsidRPr="0059797C" w:rsidRDefault="00E30BD3" w:rsidP="00C163E6">
            <w:r>
              <w:t>R</w:t>
            </w:r>
            <w:r w:rsidRPr="00E30BD3">
              <w:t xml:space="preserve">écolte de financements </w:t>
            </w:r>
            <w:r>
              <w:t>(</w:t>
            </w:r>
            <w:r w:rsidRPr="00E30BD3">
              <w:t>50% des coûts</w:t>
            </w:r>
            <w:r>
              <w:t>)</w:t>
            </w:r>
          </w:p>
        </w:tc>
        <w:tc>
          <w:tcPr>
            <w:tcW w:w="2484" w:type="dxa"/>
          </w:tcPr>
          <w:p w14:paraId="09D48AC2" w14:textId="04D59051" w:rsidR="00E30BD3" w:rsidRPr="0059797C" w:rsidRDefault="00E30BD3" w:rsidP="00C163E6">
            <w:pPr>
              <w:jc w:val="center"/>
              <w:cnfStyle w:val="000000000000" w:firstRow="0" w:lastRow="0" w:firstColumn="0" w:lastColumn="0" w:oddVBand="0" w:evenVBand="0" w:oddHBand="0" w:evenHBand="0" w:firstRowFirstColumn="0" w:firstRowLastColumn="0" w:lastRowFirstColumn="0" w:lastRowLastColumn="0"/>
              <w:rPr>
                <w:b/>
              </w:rPr>
            </w:pPr>
            <w:r>
              <w:rPr>
                <w:b/>
              </w:rPr>
              <w:t>223</w:t>
            </w:r>
            <w:r w:rsidRPr="0059797C">
              <w:rPr>
                <w:b/>
              </w:rPr>
              <w:t>'</w:t>
            </w:r>
            <w:r>
              <w:rPr>
                <w:b/>
              </w:rPr>
              <w:t>5</w:t>
            </w:r>
            <w:r w:rsidRPr="0059797C">
              <w:rPr>
                <w:b/>
              </w:rPr>
              <w:t>00,00 $</w:t>
            </w:r>
          </w:p>
        </w:tc>
      </w:tr>
    </w:tbl>
    <w:p w14:paraId="7B87E3A9" w14:textId="77777777" w:rsidR="00C163E6" w:rsidRDefault="00C163E6">
      <w:pPr>
        <w:rPr>
          <w:rFonts w:cs="Tahoma"/>
          <w:szCs w:val="20"/>
        </w:rPr>
      </w:pPr>
    </w:p>
    <w:p w14:paraId="55B5A0CF" w14:textId="77777777" w:rsidR="00C163E6" w:rsidRPr="00C163E6" w:rsidRDefault="00C163E6" w:rsidP="00C163E6">
      <w:pPr>
        <w:rPr>
          <w:b/>
        </w:rPr>
      </w:pPr>
      <w:r w:rsidRPr="00C163E6">
        <w:rPr>
          <w:b/>
        </w:rPr>
        <w:t>Evaluation des risques et durabilité du projet</w:t>
      </w:r>
    </w:p>
    <w:p w14:paraId="33E71B70" w14:textId="77777777" w:rsidR="00C163E6" w:rsidRDefault="00C163E6" w:rsidP="00C163E6">
      <w:r>
        <w:t xml:space="preserve">Les risques plus marqués résultent de l’imprévisibilité de l’évolution sanitaire et épidémiologique dans l’ensemble du pays. Une situation qui pourrait entraver la réouverture des écoles et ralentir la réalisation des formations. </w:t>
      </w:r>
    </w:p>
    <w:p w14:paraId="4414634A" w14:textId="77777777" w:rsidR="00C163E6" w:rsidRDefault="00C163E6" w:rsidP="00C163E6"/>
    <w:p w14:paraId="5D31F249" w14:textId="799F5D84" w:rsidR="00C163E6" w:rsidRPr="00B21C84" w:rsidRDefault="00C163E6" w:rsidP="00C163E6">
      <w:pPr>
        <w:rPr>
          <w:szCs w:val="20"/>
        </w:rPr>
      </w:pPr>
      <w:r w:rsidRPr="00B21C84">
        <w:rPr>
          <w:szCs w:val="20"/>
        </w:rPr>
        <w:t>Dans ce contexte</w:t>
      </w:r>
      <w:r w:rsidR="00E82C69">
        <w:rPr>
          <w:szCs w:val="20"/>
        </w:rPr>
        <w:t>,</w:t>
      </w:r>
      <w:r w:rsidRPr="00B21C84">
        <w:rPr>
          <w:szCs w:val="20"/>
        </w:rPr>
        <w:t xml:space="preserve"> deux s</w:t>
      </w:r>
      <w:r w:rsidR="00B21C84" w:rsidRPr="00B21C84">
        <w:rPr>
          <w:szCs w:val="20"/>
        </w:rPr>
        <w:t xml:space="preserve">tratégies permettent de limiter les </w:t>
      </w:r>
      <w:r w:rsidRPr="00B21C84">
        <w:rPr>
          <w:szCs w:val="20"/>
        </w:rPr>
        <w:t>risques :</w:t>
      </w:r>
    </w:p>
    <w:p w14:paraId="6028C3A4" w14:textId="77777777" w:rsidR="00C163E6" w:rsidRPr="00B21C84" w:rsidRDefault="00C163E6" w:rsidP="00B21C84">
      <w:pPr>
        <w:pStyle w:val="Paragrafoelenco"/>
        <w:numPr>
          <w:ilvl w:val="0"/>
          <w:numId w:val="3"/>
        </w:numPr>
        <w:rPr>
          <w:rFonts w:ascii="Tahoma" w:hAnsi="Tahoma" w:cs="Tahoma"/>
          <w:sz w:val="20"/>
          <w:szCs w:val="20"/>
        </w:rPr>
      </w:pPr>
      <w:r w:rsidRPr="00B21C84">
        <w:rPr>
          <w:rFonts w:ascii="Tahoma" w:hAnsi="Tahoma" w:cs="Tahoma"/>
          <w:sz w:val="20"/>
          <w:szCs w:val="20"/>
        </w:rPr>
        <w:t xml:space="preserve">La flexibilité dans la réalisation du projet. Procéder par étapes permet de réagir rapidement aux changements imposés par les conditions sanitaires et réaliser ainsi la phase de formation. </w:t>
      </w:r>
    </w:p>
    <w:p w14:paraId="57450FD9" w14:textId="114BFF7D" w:rsidR="00EC1B69" w:rsidRPr="00EC1B69" w:rsidRDefault="00C163E6" w:rsidP="00CC481B">
      <w:pPr>
        <w:pStyle w:val="Paragrafoelenco"/>
        <w:numPr>
          <w:ilvl w:val="0"/>
          <w:numId w:val="3"/>
        </w:numPr>
        <w:rPr>
          <w:rFonts w:ascii="Tahoma" w:hAnsi="Tahoma" w:cs="Tahoma"/>
          <w:sz w:val="20"/>
          <w:szCs w:val="20"/>
        </w:rPr>
      </w:pPr>
      <w:r w:rsidRPr="00B21C84">
        <w:rPr>
          <w:rFonts w:ascii="Tahoma" w:hAnsi="Tahoma" w:cs="Tahoma"/>
          <w:sz w:val="20"/>
          <w:szCs w:val="20"/>
        </w:rPr>
        <w:t xml:space="preserve">Une modalité alternative dans la </w:t>
      </w:r>
      <w:r w:rsidRPr="00B21C84">
        <w:rPr>
          <w:rFonts w:ascii="Tahoma" w:hAnsi="Tahoma" w:cs="Tahoma"/>
          <w:b/>
          <w:sz w:val="20"/>
          <w:szCs w:val="20"/>
        </w:rPr>
        <w:t>réalisation des formations orientée vers des conférences vidéo</w:t>
      </w:r>
      <w:r w:rsidRPr="00B21C84">
        <w:rPr>
          <w:rFonts w:ascii="Tahoma" w:hAnsi="Tahoma" w:cs="Tahoma"/>
          <w:sz w:val="20"/>
          <w:szCs w:val="20"/>
        </w:rPr>
        <w:t xml:space="preserve"> a été également imaginée. Cette forme </w:t>
      </w:r>
      <w:r w:rsidR="00E82C69">
        <w:rPr>
          <w:rFonts w:ascii="Tahoma" w:hAnsi="Tahoma" w:cs="Tahoma"/>
          <w:sz w:val="20"/>
          <w:szCs w:val="20"/>
        </w:rPr>
        <w:t>d’</w:t>
      </w:r>
      <w:r w:rsidRPr="00B21C84">
        <w:rPr>
          <w:rFonts w:ascii="Tahoma" w:hAnsi="Tahoma" w:cs="Tahoma"/>
          <w:sz w:val="20"/>
          <w:szCs w:val="20"/>
        </w:rPr>
        <w:t xml:space="preserve">alternative demande </w:t>
      </w:r>
      <w:r w:rsidRPr="00B21C84">
        <w:rPr>
          <w:rFonts w:ascii="Tahoma" w:hAnsi="Tahoma" w:cs="Tahoma"/>
          <w:sz w:val="20"/>
          <w:szCs w:val="20"/>
          <w:lang w:val="uz-Cyrl-UZ"/>
        </w:rPr>
        <w:t xml:space="preserve">un travail d’élaboration, </w:t>
      </w:r>
      <w:r w:rsidR="00F43E8A">
        <w:rPr>
          <w:rFonts w:ascii="Tahoma" w:hAnsi="Tahoma" w:cs="Tahoma"/>
          <w:sz w:val="20"/>
          <w:szCs w:val="20"/>
        </w:rPr>
        <w:t>d’évaluation</w:t>
      </w:r>
      <w:r w:rsidR="00E82C69">
        <w:rPr>
          <w:rFonts w:ascii="Tahoma" w:hAnsi="Tahoma" w:cs="Tahoma"/>
          <w:sz w:val="20"/>
          <w:szCs w:val="20"/>
          <w:lang w:val="uz-Cyrl-UZ"/>
        </w:rPr>
        <w:t xml:space="preserve"> vu que</w:t>
      </w:r>
      <w:r w:rsidRPr="00B21C84">
        <w:rPr>
          <w:rFonts w:ascii="Tahoma" w:hAnsi="Tahoma" w:cs="Tahoma"/>
          <w:sz w:val="20"/>
          <w:szCs w:val="20"/>
          <w:lang w:val="uz-Cyrl-UZ"/>
        </w:rPr>
        <w:t xml:space="preserve"> toutes les </w:t>
      </w:r>
      <w:r w:rsidR="00F43E8A">
        <w:rPr>
          <w:rFonts w:ascii="Tahoma" w:hAnsi="Tahoma" w:cs="Tahoma"/>
          <w:sz w:val="20"/>
          <w:szCs w:val="20"/>
        </w:rPr>
        <w:t>écoles</w:t>
      </w:r>
      <w:r w:rsidRPr="00B21C84">
        <w:rPr>
          <w:rFonts w:ascii="Tahoma" w:hAnsi="Tahoma" w:cs="Tahoma"/>
          <w:sz w:val="20"/>
          <w:szCs w:val="20"/>
          <w:lang w:val="uz-Cyrl-UZ"/>
        </w:rPr>
        <w:t xml:space="preserve"> </w:t>
      </w:r>
      <w:r w:rsidR="00F43E8A">
        <w:rPr>
          <w:rFonts w:ascii="Tahoma" w:hAnsi="Tahoma" w:cs="Tahoma"/>
          <w:sz w:val="20"/>
          <w:szCs w:val="20"/>
        </w:rPr>
        <w:t>n’</w:t>
      </w:r>
      <w:r w:rsidRPr="00B21C84">
        <w:rPr>
          <w:rFonts w:ascii="Tahoma" w:hAnsi="Tahoma" w:cs="Tahoma"/>
          <w:sz w:val="20"/>
          <w:szCs w:val="20"/>
          <w:lang w:val="uz-Cyrl-UZ"/>
        </w:rPr>
        <w:t xml:space="preserve">ont </w:t>
      </w:r>
      <w:r w:rsidR="00F43E8A">
        <w:rPr>
          <w:rFonts w:ascii="Tahoma" w:hAnsi="Tahoma" w:cs="Tahoma"/>
          <w:sz w:val="20"/>
          <w:szCs w:val="20"/>
        </w:rPr>
        <w:t xml:space="preserve">pas </w:t>
      </w:r>
      <w:r w:rsidRPr="00B21C84">
        <w:rPr>
          <w:rFonts w:ascii="Tahoma" w:hAnsi="Tahoma" w:cs="Tahoma"/>
          <w:sz w:val="20"/>
          <w:szCs w:val="20"/>
          <w:lang w:val="uz-Cyrl-UZ"/>
        </w:rPr>
        <w:t>les instruments pour des formations en vid</w:t>
      </w:r>
      <w:r w:rsidR="00E82C69">
        <w:rPr>
          <w:rFonts w:ascii="Tahoma" w:hAnsi="Tahoma" w:cs="Tahoma"/>
          <w:sz w:val="20"/>
          <w:szCs w:val="20"/>
          <w:lang w:val="uz-Cyrl-UZ"/>
        </w:rPr>
        <w:t>éoconference. Cela étant</w:t>
      </w:r>
      <w:r w:rsidRPr="00B21C84">
        <w:rPr>
          <w:rFonts w:ascii="Tahoma" w:hAnsi="Tahoma" w:cs="Tahoma"/>
          <w:sz w:val="20"/>
          <w:szCs w:val="20"/>
          <w:lang w:val="uz-Cyrl-UZ"/>
        </w:rPr>
        <w:t xml:space="preserve">, l’orientation vers l’installation des instruments éléctroniques permettant l’enseignement à distance est une initiative orientée </w:t>
      </w:r>
      <w:r w:rsidR="00E82C69">
        <w:rPr>
          <w:rFonts w:ascii="Tahoma" w:hAnsi="Tahoma" w:cs="Tahoma"/>
          <w:sz w:val="20"/>
          <w:szCs w:val="20"/>
          <w:lang w:val="uz-Cyrl-UZ"/>
        </w:rPr>
        <w:t>vers le futur, avec potentiel é</w:t>
      </w:r>
      <w:r w:rsidRPr="00B21C84">
        <w:rPr>
          <w:rFonts w:ascii="Tahoma" w:hAnsi="Tahoma" w:cs="Tahoma"/>
          <w:sz w:val="20"/>
          <w:szCs w:val="20"/>
          <w:lang w:val="uz-Cyrl-UZ"/>
        </w:rPr>
        <w:t xml:space="preserve">norme et digne d’être davantage développée. </w:t>
      </w:r>
    </w:p>
    <w:p w14:paraId="621B9CED" w14:textId="77777777" w:rsidR="00EC1B69" w:rsidRDefault="00EC1B69" w:rsidP="00EC1B69"/>
    <w:p w14:paraId="09940F50" w14:textId="4F442338" w:rsidR="00CC481B" w:rsidRPr="00EC1B69" w:rsidRDefault="00CC481B" w:rsidP="00E30BD3">
      <w:pPr>
        <w:keepNext/>
        <w:rPr>
          <w:rFonts w:cs="Tahoma"/>
          <w:b/>
          <w:szCs w:val="20"/>
        </w:rPr>
      </w:pPr>
      <w:r w:rsidRPr="00EC1B69">
        <w:rPr>
          <w:b/>
        </w:rPr>
        <w:t>Demande de financement</w:t>
      </w:r>
    </w:p>
    <w:p w14:paraId="101C1920" w14:textId="57E41C6F" w:rsidR="00CC481B" w:rsidRDefault="00CC481B" w:rsidP="00EC1B69">
      <w:pPr>
        <w:jc w:val="both"/>
        <w:rPr>
          <w:szCs w:val="22"/>
        </w:rPr>
      </w:pPr>
      <w:r w:rsidRPr="00F77B4F">
        <w:rPr>
          <w:szCs w:val="22"/>
        </w:rPr>
        <w:t>Le renforcement des compétences numériques nécessite de lourds investissements dans la formation du personnel, la conception des programmes et la création de centres d’information. Tout cela appelle une collaboration internationale accrue et le développement de possibili</w:t>
      </w:r>
      <w:r>
        <w:rPr>
          <w:szCs w:val="22"/>
        </w:rPr>
        <w:t>té</w:t>
      </w:r>
      <w:r w:rsidR="00452454">
        <w:rPr>
          <w:szCs w:val="22"/>
        </w:rPr>
        <w:t>s</w:t>
      </w:r>
      <w:r>
        <w:rPr>
          <w:szCs w:val="22"/>
        </w:rPr>
        <w:t xml:space="preserve"> de partenariat public-privé. Les experts des Nations Unies soulignent qu’u</w:t>
      </w:r>
      <w:r w:rsidRPr="00F77B4F">
        <w:rPr>
          <w:szCs w:val="22"/>
        </w:rPr>
        <w:t>ne telle collaboration peut contribuer de plusieurs façons au renforcement des compétences numériques des pays</w:t>
      </w:r>
      <w:r>
        <w:rPr>
          <w:szCs w:val="22"/>
        </w:rPr>
        <w:t xml:space="preserve"> et plus en général au développement de la recherche en ce domaine</w:t>
      </w:r>
      <w:r w:rsidRPr="00F77B4F">
        <w:rPr>
          <w:szCs w:val="22"/>
        </w:rPr>
        <w:t>.</w:t>
      </w:r>
    </w:p>
    <w:p w14:paraId="20FCA8C8" w14:textId="77777777" w:rsidR="00CC481B" w:rsidRDefault="00CC481B" w:rsidP="00EC1B69">
      <w:pPr>
        <w:jc w:val="both"/>
        <w:rPr>
          <w:szCs w:val="22"/>
        </w:rPr>
      </w:pPr>
    </w:p>
    <w:p w14:paraId="6523A6F6" w14:textId="77777777" w:rsidR="00452454" w:rsidRDefault="00CC481B" w:rsidP="00EC1B69">
      <w:pPr>
        <w:jc w:val="both"/>
      </w:pPr>
      <w:r>
        <w:t xml:space="preserve">Pour la réalisation de cette étape du projet, le Ministère de l’Enseignement Primaire, Secondaire et Technique recherche des partenaires financiers ou des donateurs. Des financements essentiels aux provinces économiquement plus fragiles pour pouvoir entamer le parcours de formation des formateurs à l’utilisation des logiciels comptables. </w:t>
      </w:r>
    </w:p>
    <w:p w14:paraId="17E3D76D" w14:textId="23C92700" w:rsidR="00CC481B" w:rsidRPr="00452454" w:rsidRDefault="00CC481B" w:rsidP="00EC1B69">
      <w:pPr>
        <w:jc w:val="both"/>
        <w:rPr>
          <w:bCs/>
        </w:rPr>
      </w:pPr>
      <w:r w:rsidRPr="00452454">
        <w:rPr>
          <w:bCs/>
        </w:rPr>
        <w:t>Compte tenu des investissements pris en charge</w:t>
      </w:r>
      <w:r w:rsidR="005443E6" w:rsidRPr="00452454">
        <w:rPr>
          <w:bCs/>
        </w:rPr>
        <w:t xml:space="preserve"> par les provinces elles-mêmes et </w:t>
      </w:r>
      <w:r w:rsidRPr="00452454">
        <w:rPr>
          <w:bCs/>
        </w:rPr>
        <w:t xml:space="preserve">afin de progresser dans la réalisation des séminaires de formation dans les </w:t>
      </w:r>
      <w:r w:rsidR="005804C1" w:rsidRPr="00452454">
        <w:rPr>
          <w:bCs/>
        </w:rPr>
        <w:t xml:space="preserve">37 </w:t>
      </w:r>
      <w:r w:rsidRPr="00452454">
        <w:rPr>
          <w:bCs/>
        </w:rPr>
        <w:t>provi</w:t>
      </w:r>
      <w:r w:rsidR="005804C1" w:rsidRPr="00452454">
        <w:rPr>
          <w:bCs/>
        </w:rPr>
        <w:t xml:space="preserve">nces  éducationnelles, </w:t>
      </w:r>
      <w:r w:rsidRPr="00452454">
        <w:rPr>
          <w:bCs/>
        </w:rPr>
        <w:t>nous nous permettons de vous adresser</w:t>
      </w:r>
      <w:r w:rsidR="005443E6" w:rsidRPr="00452454">
        <w:rPr>
          <w:bCs/>
        </w:rPr>
        <w:t xml:space="preserve"> une demande de financement de 30</w:t>
      </w:r>
      <w:r w:rsidRPr="00452454">
        <w:rPr>
          <w:bCs/>
        </w:rPr>
        <w:t>’000 CHF</w:t>
      </w:r>
      <w:r w:rsidR="005804C1" w:rsidRPr="00452454">
        <w:t xml:space="preserve"> </w:t>
      </w:r>
      <w:r w:rsidR="005443E6" w:rsidRPr="00452454">
        <w:rPr>
          <w:bCs/>
        </w:rPr>
        <w:t xml:space="preserve">pour un groupement de 6 </w:t>
      </w:r>
      <w:r w:rsidR="005804C1" w:rsidRPr="00452454">
        <w:rPr>
          <w:bCs/>
        </w:rPr>
        <w:t>province</w:t>
      </w:r>
      <w:r w:rsidR="005443E6" w:rsidRPr="00452454">
        <w:rPr>
          <w:bCs/>
        </w:rPr>
        <w:t>s éducationnelles</w:t>
      </w:r>
      <w:r w:rsidR="005804C1" w:rsidRPr="00452454">
        <w:rPr>
          <w:bCs/>
        </w:rPr>
        <w:t>.</w:t>
      </w:r>
    </w:p>
    <w:p w14:paraId="1ACC311D" w14:textId="77777777" w:rsidR="00CC481B" w:rsidRPr="00452454" w:rsidRDefault="00CC481B" w:rsidP="00EC1B69">
      <w:pPr>
        <w:jc w:val="both"/>
      </w:pPr>
    </w:p>
    <w:p w14:paraId="2684E813" w14:textId="77777777" w:rsidR="00CC481B" w:rsidRDefault="00CC481B" w:rsidP="00EC1B69">
      <w:pPr>
        <w:jc w:val="both"/>
      </w:pPr>
      <w:r w:rsidRPr="00993E8E">
        <w:t>Nous restons à votr</w:t>
      </w:r>
      <w:r>
        <w:t>e entière disposition pour tout complément d’information</w:t>
      </w:r>
      <w:r w:rsidRPr="00993E8E">
        <w:t xml:space="preserve"> que vous jugeriez nécess</w:t>
      </w:r>
      <w:r>
        <w:t xml:space="preserve">aire à l’étude de notre demande. </w:t>
      </w:r>
    </w:p>
    <w:p w14:paraId="430B68E9" w14:textId="77777777" w:rsidR="00CC481B" w:rsidRDefault="00CC481B" w:rsidP="00EC1B69">
      <w:pPr>
        <w:jc w:val="both"/>
      </w:pPr>
      <w:r w:rsidRPr="00993E8E">
        <w:t xml:space="preserve">Vous remerciant par avance de l’intérêt que vous porterez à notre sollicitation, et dans cette attente, nous vous prions d’agréer, </w:t>
      </w:r>
      <w:r>
        <w:t xml:space="preserve">…, </w:t>
      </w:r>
      <w:r w:rsidRPr="00993E8E">
        <w:t>l’expression de nos respectueuses salutations.</w:t>
      </w:r>
    </w:p>
    <w:p w14:paraId="3C706A26" w14:textId="77777777" w:rsidR="00CC481B" w:rsidRDefault="00CC481B" w:rsidP="00CC481B"/>
    <w:p w14:paraId="2442C851" w14:textId="27C49AB9" w:rsidR="00CC481B" w:rsidRPr="00CC481B" w:rsidRDefault="00CC481B" w:rsidP="00CC481B">
      <w:pPr>
        <w:rPr>
          <w:b/>
        </w:rPr>
      </w:pPr>
      <w:r w:rsidRPr="00CC481B">
        <w:rPr>
          <w:rFonts w:cs="Tahoma"/>
          <w:b/>
        </w:rPr>
        <w:t xml:space="preserve">Contacts et adresse </w:t>
      </w:r>
    </w:p>
    <w:p w14:paraId="310B98FA" w14:textId="77777777" w:rsidR="00CC481B" w:rsidRDefault="00CC481B" w:rsidP="00CC481B"/>
    <w:p w14:paraId="24F88896" w14:textId="77777777" w:rsidR="00CC481B" w:rsidRDefault="00CC481B" w:rsidP="00CC481B">
      <w:r w:rsidRPr="00FF7973">
        <w:t>Banana.ch SA</w:t>
      </w:r>
      <w:r w:rsidRPr="00FF7973">
        <w:br/>
        <w:t>Via la Santa 7</w:t>
      </w:r>
      <w:r w:rsidRPr="00FF7973">
        <w:br/>
        <w:t>CH-6962 Viganello</w:t>
      </w:r>
      <w:r w:rsidRPr="00FF7973">
        <w:br/>
        <w:t>Svizzera</w:t>
      </w:r>
    </w:p>
    <w:p w14:paraId="6D9CAD31" w14:textId="77777777" w:rsidR="00CC481B" w:rsidRDefault="00CC481B" w:rsidP="00CC481B"/>
    <w:p w14:paraId="2EAD34AD" w14:textId="77777777" w:rsidR="00CC481B" w:rsidRDefault="00941B28" w:rsidP="00CC481B">
      <w:hyperlink r:id="rId12" w:history="1">
        <w:r w:rsidR="00CC481B" w:rsidRPr="00DF10A9">
          <w:rPr>
            <w:rStyle w:val="Collegamentoipertestuale"/>
          </w:rPr>
          <w:t>info@banana.ch</w:t>
        </w:r>
      </w:hyperlink>
    </w:p>
    <w:p w14:paraId="45CA9EB3" w14:textId="77777777" w:rsidR="00CC481B" w:rsidRPr="009A4E9C" w:rsidRDefault="00CC481B" w:rsidP="00CC481B">
      <w:r w:rsidRPr="009A4E9C">
        <w:t>Pour la Suisse:091 921 30 29</w:t>
      </w:r>
      <w:r w:rsidRPr="009A4E9C">
        <w:br/>
        <w:t>Pour l'étranger: +4191 921 30 29</w:t>
      </w:r>
    </w:p>
    <w:p w14:paraId="67D9F098" w14:textId="77777777" w:rsidR="00CC481B" w:rsidRDefault="00CC481B" w:rsidP="00CC481B"/>
    <w:p w14:paraId="2735CAE6" w14:textId="77777777" w:rsidR="00C163E6" w:rsidRPr="00B21C84" w:rsidRDefault="00C163E6">
      <w:pPr>
        <w:rPr>
          <w:rFonts w:cs="Tahoma"/>
          <w:szCs w:val="20"/>
        </w:rPr>
      </w:pPr>
    </w:p>
    <w:sectPr w:rsidR="00C163E6" w:rsidRPr="00B21C84" w:rsidSect="008E578E">
      <w:head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2321F" w14:textId="77777777" w:rsidR="00941B28" w:rsidRDefault="00941B28" w:rsidP="00733A82">
      <w:r>
        <w:separator/>
      </w:r>
    </w:p>
  </w:endnote>
  <w:endnote w:type="continuationSeparator" w:id="0">
    <w:p w14:paraId="52250953" w14:textId="77777777" w:rsidR="00941B28" w:rsidRDefault="00941B28" w:rsidP="00733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BD703" w14:textId="77777777" w:rsidR="00941B28" w:rsidRDefault="00941B28" w:rsidP="00733A82">
      <w:r>
        <w:separator/>
      </w:r>
    </w:p>
  </w:footnote>
  <w:footnote w:type="continuationSeparator" w:id="0">
    <w:p w14:paraId="729E073B" w14:textId="77777777" w:rsidR="00941B28" w:rsidRDefault="00941B28" w:rsidP="00733A82">
      <w:r>
        <w:continuationSeparator/>
      </w:r>
    </w:p>
  </w:footnote>
  <w:footnote w:id="1">
    <w:p w14:paraId="1CFE5D1F" w14:textId="70B1D832" w:rsidR="00F43E8A" w:rsidRPr="00452454" w:rsidRDefault="00F43E8A">
      <w:pPr>
        <w:pStyle w:val="Testonotaapidipagina"/>
        <w:rPr>
          <w:rFonts w:ascii="Tahoma" w:hAnsi="Tahoma" w:cs="Tahoma"/>
        </w:rPr>
      </w:pPr>
      <w:r>
        <w:rPr>
          <w:rStyle w:val="Rimandonotaapidipagina"/>
        </w:rPr>
        <w:footnoteRef/>
      </w:r>
      <w:r>
        <w:t xml:space="preserve"> </w:t>
      </w:r>
      <w:r w:rsidRPr="00452454">
        <w:rPr>
          <w:rFonts w:ascii="Tahoma" w:hAnsi="Tahoma" w:cs="Tahoma"/>
          <w:b/>
          <w:bCs/>
        </w:rPr>
        <w:t>Enseignement Primaire, Secondaire et Technique</w:t>
      </w:r>
      <w:r w:rsidRPr="00452454">
        <w:rPr>
          <w:rFonts w:ascii="Tahoma" w:hAnsi="Tahoma" w:cs="Tahoma"/>
        </w:rPr>
        <w:t xml:space="preserve"> </w:t>
      </w:r>
    </w:p>
  </w:footnote>
  <w:footnote w:id="2">
    <w:p w14:paraId="0EF7A2CC" w14:textId="626B3BB5" w:rsidR="00C163E6" w:rsidRPr="00452454" w:rsidRDefault="00C163E6">
      <w:pPr>
        <w:pStyle w:val="Testonotaapidipagina"/>
        <w:rPr>
          <w:rFonts w:ascii="Tahoma" w:hAnsi="Tahoma" w:cs="Tahoma"/>
          <w:sz w:val="18"/>
          <w:szCs w:val="18"/>
        </w:rPr>
      </w:pPr>
      <w:r w:rsidRPr="00452454">
        <w:rPr>
          <w:rStyle w:val="Rimandonotaapidipagina"/>
          <w:rFonts w:ascii="Tahoma" w:hAnsi="Tahoma" w:cs="Tahoma"/>
          <w:sz w:val="18"/>
          <w:szCs w:val="18"/>
        </w:rPr>
        <w:footnoteRef/>
      </w:r>
      <w:r w:rsidRPr="00452454">
        <w:rPr>
          <w:rFonts w:ascii="Tahoma" w:hAnsi="Tahoma" w:cs="Tahoma"/>
          <w:sz w:val="18"/>
          <w:szCs w:val="18"/>
        </w:rPr>
        <w:t xml:space="preserve"> </w:t>
      </w:r>
      <w:r w:rsidRPr="00452454">
        <w:rPr>
          <w:rFonts w:ascii="Tahoma" w:hAnsi="Tahoma" w:cs="Tahoma"/>
          <w:b/>
          <w:bCs/>
          <w:i/>
          <w:sz w:val="18"/>
          <w:szCs w:val="18"/>
        </w:rPr>
        <w:t>Conseil Permanent de </w:t>
      </w:r>
      <w:r w:rsidR="003E5266" w:rsidRPr="00452454">
        <w:rPr>
          <w:rFonts w:ascii="Tahoma" w:hAnsi="Tahoma" w:cs="Tahoma"/>
          <w:b/>
          <w:bCs/>
          <w:i/>
          <w:sz w:val="18"/>
          <w:szCs w:val="18"/>
        </w:rPr>
        <w:t xml:space="preserve">la </w:t>
      </w:r>
      <w:r w:rsidRPr="00452454">
        <w:rPr>
          <w:rFonts w:ascii="Tahoma" w:hAnsi="Tahoma" w:cs="Tahoma"/>
          <w:b/>
          <w:bCs/>
          <w:i/>
          <w:sz w:val="18"/>
          <w:szCs w:val="18"/>
        </w:rPr>
        <w:t>Comptabilité au Congo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5183"/>
      <w:gridCol w:w="2998"/>
    </w:tblGrid>
    <w:tr w:rsidR="00B525AD" w14:paraId="433233BF" w14:textId="77777777" w:rsidTr="00B525AD">
      <w:tc>
        <w:tcPr>
          <w:tcW w:w="1101" w:type="dxa"/>
        </w:tcPr>
        <w:p w14:paraId="0336FE9A" w14:textId="188BE89D" w:rsidR="00B525AD" w:rsidRPr="000B52EC" w:rsidRDefault="00B525AD" w:rsidP="00B525AD">
          <w:pPr>
            <w:pStyle w:val="Intestazione"/>
            <w:rPr>
              <w:rFonts w:ascii="Times New Roman" w:hAnsi="Times New Roman" w:cs="Times New Roman"/>
              <w:b/>
              <w:bCs/>
              <w:noProof/>
              <w:szCs w:val="20"/>
            </w:rPr>
          </w:pPr>
          <w:r w:rsidRPr="000B52EC">
            <w:rPr>
              <w:rFonts w:ascii="Times New Roman" w:hAnsi="Times New Roman" w:cs="Times New Roman"/>
              <w:b/>
              <w:bCs/>
              <w:noProof/>
              <w:szCs w:val="20"/>
            </w:rPr>
            <w:drawing>
              <wp:inline distT="0" distB="0" distL="0" distR="0" wp14:anchorId="4A677C97" wp14:editId="7F23977A">
                <wp:extent cx="501953" cy="435429"/>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027" cy="441565"/>
                        </a:xfrm>
                        <a:prstGeom prst="rect">
                          <a:avLst/>
                        </a:prstGeom>
                        <a:noFill/>
                        <a:ln>
                          <a:noFill/>
                        </a:ln>
                      </pic:spPr>
                    </pic:pic>
                  </a:graphicData>
                </a:graphic>
              </wp:inline>
            </w:drawing>
          </w:r>
        </w:p>
      </w:tc>
      <w:tc>
        <w:tcPr>
          <w:tcW w:w="5183" w:type="dxa"/>
        </w:tcPr>
        <w:p w14:paraId="5483F790" w14:textId="0C9F79C8" w:rsidR="00B525AD" w:rsidRDefault="00B525AD" w:rsidP="00B525AD">
          <w:pPr>
            <w:pStyle w:val="Intestazione"/>
          </w:pPr>
          <w:r>
            <w:t>INSPECTION GENERALE</w:t>
          </w:r>
          <w:r>
            <w:br/>
          </w:r>
          <w:r>
            <w:t>MINISTERE DE L’ENSEIGNEMENT PRIMAIRE,</w:t>
          </w:r>
        </w:p>
        <w:p w14:paraId="3ADBB60A" w14:textId="5D0FAB78" w:rsidR="00B525AD" w:rsidRDefault="00B525AD" w:rsidP="00B525AD">
          <w:pPr>
            <w:pStyle w:val="Intestazione"/>
          </w:pPr>
          <w:r>
            <w:t>SECONDAIRE ET TECHNIQUE</w:t>
          </w:r>
        </w:p>
      </w:tc>
      <w:tc>
        <w:tcPr>
          <w:tcW w:w="2998" w:type="dxa"/>
        </w:tcPr>
        <w:p w14:paraId="19E361F8" w14:textId="440960A6" w:rsidR="00B525AD" w:rsidRDefault="00B525AD" w:rsidP="00B525AD">
          <w:pPr>
            <w:pStyle w:val="Intestazione"/>
            <w:jc w:val="right"/>
          </w:pPr>
          <w:r>
            <w:rPr>
              <w:noProof/>
            </w:rPr>
            <w:drawing>
              <wp:inline distT="0" distB="0" distL="0" distR="0" wp14:anchorId="36CD9FD7" wp14:editId="6CD48615">
                <wp:extent cx="1416661" cy="324644"/>
                <wp:effectExtent l="0" t="0" r="0" b="0"/>
                <wp:docPr id="5"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ana-logo.png"/>
                        <pic:cNvPicPr/>
                      </pic:nvPicPr>
                      <pic:blipFill>
                        <a:blip r:embed="rId2">
                          <a:extLst>
                            <a:ext uri="{28A0092B-C50C-407E-A947-70E740481C1C}">
                              <a14:useLocalDpi xmlns:a14="http://schemas.microsoft.com/office/drawing/2010/main" val="0"/>
                            </a:ext>
                          </a:extLst>
                        </a:blip>
                        <a:stretch>
                          <a:fillRect/>
                        </a:stretch>
                      </pic:blipFill>
                      <pic:spPr>
                        <a:xfrm>
                          <a:off x="0" y="0"/>
                          <a:ext cx="1529689" cy="350546"/>
                        </a:xfrm>
                        <a:prstGeom prst="rect">
                          <a:avLst/>
                        </a:prstGeom>
                      </pic:spPr>
                    </pic:pic>
                  </a:graphicData>
                </a:graphic>
              </wp:inline>
            </w:drawing>
          </w:r>
        </w:p>
      </w:tc>
    </w:tr>
  </w:tbl>
  <w:p w14:paraId="1AC73165" w14:textId="190F8658" w:rsidR="00A31E47" w:rsidRDefault="00A31E4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D22A8"/>
    <w:multiLevelType w:val="hybridMultilevel"/>
    <w:tmpl w:val="FAA063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B42F42"/>
    <w:multiLevelType w:val="hybridMultilevel"/>
    <w:tmpl w:val="8A2C4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F85826"/>
    <w:multiLevelType w:val="hybridMultilevel"/>
    <w:tmpl w:val="36A4C4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AF7250C"/>
    <w:multiLevelType w:val="hybridMultilevel"/>
    <w:tmpl w:val="0D5CF8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FC6900"/>
    <w:multiLevelType w:val="hybridMultilevel"/>
    <w:tmpl w:val="375632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3A82"/>
    <w:rsid w:val="00000E10"/>
    <w:rsid w:val="000632C1"/>
    <w:rsid w:val="000E1E92"/>
    <w:rsid w:val="001224DB"/>
    <w:rsid w:val="00134D95"/>
    <w:rsid w:val="0014598D"/>
    <w:rsid w:val="00183BAD"/>
    <w:rsid w:val="00226C4F"/>
    <w:rsid w:val="00251A9B"/>
    <w:rsid w:val="002C4E0E"/>
    <w:rsid w:val="002D36B9"/>
    <w:rsid w:val="00354145"/>
    <w:rsid w:val="003655FA"/>
    <w:rsid w:val="00387D77"/>
    <w:rsid w:val="003A6993"/>
    <w:rsid w:val="003E5266"/>
    <w:rsid w:val="00403A5B"/>
    <w:rsid w:val="00452454"/>
    <w:rsid w:val="00456B42"/>
    <w:rsid w:val="004A63BB"/>
    <w:rsid w:val="004B2BFE"/>
    <w:rsid w:val="0053609C"/>
    <w:rsid w:val="005443E6"/>
    <w:rsid w:val="005461A2"/>
    <w:rsid w:val="00551A7A"/>
    <w:rsid w:val="005530E0"/>
    <w:rsid w:val="005804C1"/>
    <w:rsid w:val="006013EE"/>
    <w:rsid w:val="006C5DBF"/>
    <w:rsid w:val="007155F9"/>
    <w:rsid w:val="00733A82"/>
    <w:rsid w:val="00740C20"/>
    <w:rsid w:val="0078536F"/>
    <w:rsid w:val="0079688A"/>
    <w:rsid w:val="007A0714"/>
    <w:rsid w:val="007B5802"/>
    <w:rsid w:val="007E3045"/>
    <w:rsid w:val="007E4588"/>
    <w:rsid w:val="008B5719"/>
    <w:rsid w:val="008D1C95"/>
    <w:rsid w:val="008E578E"/>
    <w:rsid w:val="00941B28"/>
    <w:rsid w:val="00961C16"/>
    <w:rsid w:val="009D4131"/>
    <w:rsid w:val="009E1A1B"/>
    <w:rsid w:val="00A21964"/>
    <w:rsid w:val="00A21F41"/>
    <w:rsid w:val="00A31E47"/>
    <w:rsid w:val="00A44196"/>
    <w:rsid w:val="00A95C8F"/>
    <w:rsid w:val="00B21C84"/>
    <w:rsid w:val="00B503C9"/>
    <w:rsid w:val="00B525AD"/>
    <w:rsid w:val="00BA37A1"/>
    <w:rsid w:val="00C163E6"/>
    <w:rsid w:val="00C2062B"/>
    <w:rsid w:val="00C45040"/>
    <w:rsid w:val="00C8523E"/>
    <w:rsid w:val="00CB4170"/>
    <w:rsid w:val="00CB507E"/>
    <w:rsid w:val="00CC481B"/>
    <w:rsid w:val="00CF22EA"/>
    <w:rsid w:val="00D06763"/>
    <w:rsid w:val="00D54F84"/>
    <w:rsid w:val="00DA26BE"/>
    <w:rsid w:val="00E30BD3"/>
    <w:rsid w:val="00E5180D"/>
    <w:rsid w:val="00E67B02"/>
    <w:rsid w:val="00E82C69"/>
    <w:rsid w:val="00E923C2"/>
    <w:rsid w:val="00EC1B69"/>
    <w:rsid w:val="00ED501F"/>
    <w:rsid w:val="00F43E8A"/>
    <w:rsid w:val="00F73FBA"/>
    <w:rsid w:val="00FD2E3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F60DDD"/>
  <w14:defaultImageDpi w14:val="300"/>
  <w15:docId w15:val="{EF97704D-5C3F-439C-9AA7-F8013AF3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it-IT"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3A82"/>
    <w:rPr>
      <w:rFonts w:ascii="Tahoma" w:hAnsi="Tahoma"/>
      <w:sz w:val="20"/>
      <w:lang w:val="fr-FR"/>
    </w:rPr>
  </w:style>
  <w:style w:type="paragraph" w:styleId="Titolo2">
    <w:name w:val="heading 2"/>
    <w:basedOn w:val="Normale"/>
    <w:next w:val="Normale"/>
    <w:link w:val="Titolo2Carattere"/>
    <w:uiPriority w:val="9"/>
    <w:unhideWhenUsed/>
    <w:qFormat/>
    <w:rsid w:val="00C163E6"/>
    <w:pPr>
      <w:keepNext/>
      <w:keepLines/>
      <w:spacing w:before="200"/>
      <w:jc w:val="both"/>
      <w:outlineLvl w:val="1"/>
    </w:pPr>
    <w:rPr>
      <w:rFonts w:ascii="Times New Roman" w:eastAsiaTheme="majorEastAsia" w:hAnsi="Times New Roman" w:cstheme="majorBidi"/>
      <w:b/>
      <w:bCs/>
      <w:sz w:val="2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unhideWhenUsed/>
    <w:rsid w:val="00733A82"/>
    <w:pPr>
      <w:jc w:val="both"/>
    </w:pPr>
    <w:rPr>
      <w:rFonts w:ascii="Times New Roman" w:hAnsi="Times New Roman"/>
    </w:rPr>
  </w:style>
  <w:style w:type="character" w:customStyle="1" w:styleId="TestonotaapidipaginaCarattere">
    <w:name w:val="Testo nota a piè di pagina Carattere"/>
    <w:basedOn w:val="Carpredefinitoparagrafo"/>
    <w:link w:val="Testonotaapidipagina"/>
    <w:uiPriority w:val="99"/>
    <w:rsid w:val="00733A82"/>
    <w:rPr>
      <w:rFonts w:ascii="Times New Roman" w:hAnsi="Times New Roman"/>
      <w:sz w:val="20"/>
      <w:lang w:val="fr-FR"/>
    </w:rPr>
  </w:style>
  <w:style w:type="character" w:styleId="Rimandonotaapidipagina">
    <w:name w:val="footnote reference"/>
    <w:basedOn w:val="Carpredefinitoparagrafo"/>
    <w:uiPriority w:val="99"/>
    <w:unhideWhenUsed/>
    <w:rsid w:val="00733A82"/>
    <w:rPr>
      <w:vertAlign w:val="superscript"/>
    </w:rPr>
  </w:style>
  <w:style w:type="table" w:styleId="Grigliatabella">
    <w:name w:val="Table Grid"/>
    <w:basedOn w:val="Tabellanormale"/>
    <w:uiPriority w:val="59"/>
    <w:rsid w:val="00733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33A82"/>
    <w:rPr>
      <w:color w:val="0000FF" w:themeColor="hyperlink"/>
      <w:u w:val="single"/>
    </w:rPr>
  </w:style>
  <w:style w:type="character" w:styleId="Collegamentovisitato">
    <w:name w:val="FollowedHyperlink"/>
    <w:basedOn w:val="Carpredefinitoparagrafo"/>
    <w:uiPriority w:val="99"/>
    <w:semiHidden/>
    <w:unhideWhenUsed/>
    <w:rsid w:val="00733A82"/>
    <w:rPr>
      <w:color w:val="800080" w:themeColor="followedHyperlink"/>
      <w:u w:val="single"/>
    </w:rPr>
  </w:style>
  <w:style w:type="paragraph" w:styleId="Paragrafoelenco">
    <w:name w:val="List Paragraph"/>
    <w:basedOn w:val="Normale"/>
    <w:link w:val="ParagrafoelencoCarattere"/>
    <w:uiPriority w:val="34"/>
    <w:qFormat/>
    <w:rsid w:val="00C2062B"/>
    <w:pPr>
      <w:ind w:left="720"/>
      <w:contextualSpacing/>
      <w:jc w:val="both"/>
    </w:pPr>
    <w:rPr>
      <w:rFonts w:ascii="Times New Roman" w:hAnsi="Times New Roman"/>
      <w:sz w:val="22"/>
    </w:rPr>
  </w:style>
  <w:style w:type="character" w:customStyle="1" w:styleId="Titolo2Carattere">
    <w:name w:val="Titolo 2 Carattere"/>
    <w:basedOn w:val="Carpredefinitoparagrafo"/>
    <w:link w:val="Titolo2"/>
    <w:uiPriority w:val="9"/>
    <w:rsid w:val="00C163E6"/>
    <w:rPr>
      <w:rFonts w:ascii="Times New Roman" w:eastAsiaTheme="majorEastAsia" w:hAnsi="Times New Roman" w:cstheme="majorBidi"/>
      <w:b/>
      <w:bCs/>
      <w:sz w:val="22"/>
      <w:szCs w:val="26"/>
      <w:lang w:val="fr-FR"/>
    </w:rPr>
  </w:style>
  <w:style w:type="table" w:styleId="Grigliamedia1-Colore1">
    <w:name w:val="Medium Grid 1 Accent 1"/>
    <w:basedOn w:val="Tabellanormale"/>
    <w:uiPriority w:val="67"/>
    <w:rsid w:val="00C163E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ParagrafoelencoCarattere">
    <w:name w:val="Paragrafo elenco Carattere"/>
    <w:basedOn w:val="Carpredefinitoparagrafo"/>
    <w:link w:val="Paragrafoelenco"/>
    <w:uiPriority w:val="34"/>
    <w:rsid w:val="00DA26BE"/>
    <w:rPr>
      <w:rFonts w:ascii="Times New Roman" w:hAnsi="Times New Roman"/>
      <w:sz w:val="22"/>
      <w:lang w:val="fr-FR"/>
    </w:rPr>
  </w:style>
  <w:style w:type="character" w:customStyle="1" w:styleId="Aucune">
    <w:name w:val="Aucune"/>
    <w:rsid w:val="00134D95"/>
    <w:rPr>
      <w:lang w:val="fr-FR"/>
    </w:rPr>
  </w:style>
  <w:style w:type="paragraph" w:customStyle="1" w:styleId="Corps">
    <w:name w:val="Corps"/>
    <w:rsid w:val="00134D95"/>
    <w:pPr>
      <w:suppressAutoHyphens/>
      <w:spacing w:after="160" w:line="256" w:lineRule="auto"/>
    </w:pPr>
    <w:rPr>
      <w:rFonts w:ascii="Calibri" w:eastAsia="Calibri" w:hAnsi="Calibri" w:cs="Calibri"/>
      <w:color w:val="000000"/>
      <w:sz w:val="22"/>
      <w:szCs w:val="22"/>
      <w:lang w:val="fr-FR" w:eastAsia="ar-SA"/>
    </w:rPr>
  </w:style>
  <w:style w:type="paragraph" w:styleId="Intestazione">
    <w:name w:val="header"/>
    <w:basedOn w:val="Normale"/>
    <w:link w:val="IntestazioneCarattere"/>
    <w:uiPriority w:val="99"/>
    <w:unhideWhenUsed/>
    <w:rsid w:val="00A31E47"/>
    <w:pPr>
      <w:tabs>
        <w:tab w:val="center" w:pos="4513"/>
        <w:tab w:val="right" w:pos="9026"/>
      </w:tabs>
    </w:pPr>
  </w:style>
  <w:style w:type="character" w:customStyle="1" w:styleId="IntestazioneCarattere">
    <w:name w:val="Intestazione Carattere"/>
    <w:basedOn w:val="Carpredefinitoparagrafo"/>
    <w:link w:val="Intestazione"/>
    <w:uiPriority w:val="99"/>
    <w:rsid w:val="00A31E47"/>
    <w:rPr>
      <w:rFonts w:ascii="Tahoma" w:hAnsi="Tahoma"/>
      <w:sz w:val="20"/>
      <w:lang w:val="fr-FR"/>
    </w:rPr>
  </w:style>
  <w:style w:type="paragraph" w:styleId="Pidipagina">
    <w:name w:val="footer"/>
    <w:basedOn w:val="Normale"/>
    <w:link w:val="PidipaginaCarattere"/>
    <w:uiPriority w:val="99"/>
    <w:unhideWhenUsed/>
    <w:rsid w:val="00A31E47"/>
    <w:pPr>
      <w:tabs>
        <w:tab w:val="center" w:pos="4513"/>
        <w:tab w:val="right" w:pos="9026"/>
      </w:tabs>
    </w:pPr>
  </w:style>
  <w:style w:type="character" w:customStyle="1" w:styleId="PidipaginaCarattere">
    <w:name w:val="Piè di pagina Carattere"/>
    <w:basedOn w:val="Carpredefinitoparagrafo"/>
    <w:link w:val="Pidipagina"/>
    <w:uiPriority w:val="99"/>
    <w:rsid w:val="00A31E47"/>
    <w:rPr>
      <w:rFonts w:ascii="Tahoma" w:hAnsi="Tahoma"/>
      <w:sz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fo@banana.c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banana.ch"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52BB4F11CA98F4489FCD37EFF8AA03F" ma:contentTypeVersion="4" ma:contentTypeDescription="Creare un nuovo documento." ma:contentTypeScope="" ma:versionID="5db314bed55f060ff0873d406a3eda16">
  <xsd:schema xmlns:xsd="http://www.w3.org/2001/XMLSchema" xmlns:xs="http://www.w3.org/2001/XMLSchema" xmlns:p="http://schemas.microsoft.com/office/2006/metadata/properties" xmlns:ns2="222e4b20-b891-4290-9042-e8e6521877f4" targetNamespace="http://schemas.microsoft.com/office/2006/metadata/properties" ma:root="true" ma:fieldsID="3e5f0d72cf6b7be8a52731214a3379b8" ns2:_="">
    <xsd:import namespace="222e4b20-b891-4290-9042-e8e6521877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e4b20-b891-4290-9042-e8e652187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92898F-A7D9-42A2-AB47-3A0F19AAA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2e4b20-b891-4290-9042-e8e652187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6A8C91-95F4-8448-AD24-AE76C3FDA4D9}">
  <ds:schemaRefs>
    <ds:schemaRef ds:uri="http://schemas.openxmlformats.org/officeDocument/2006/bibliography"/>
  </ds:schemaRefs>
</ds:datastoreItem>
</file>

<file path=customXml/itemProps3.xml><?xml version="1.0" encoding="utf-8"?>
<ds:datastoreItem xmlns:ds="http://schemas.openxmlformats.org/officeDocument/2006/customXml" ds:itemID="{EFF8CEE6-DE9E-4ABC-B859-9FE37C6FCACF}">
  <ds:schemaRefs>
    <ds:schemaRef ds:uri="http://schemas.microsoft.com/sharepoint/v3/contenttype/forms"/>
  </ds:schemaRefs>
</ds:datastoreItem>
</file>

<file path=customXml/itemProps4.xml><?xml version="1.0" encoding="utf-8"?>
<ds:datastoreItem xmlns:ds="http://schemas.openxmlformats.org/officeDocument/2006/customXml" ds:itemID="{C61BEA6E-F181-4990-9CE7-F8A857749C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4</Pages>
  <Words>1540</Words>
  <Characters>8779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Zeno Boila</dc:creator>
  <cp:keywords/>
  <dc:description/>
  <cp:lastModifiedBy>Domenico Zucchetti</cp:lastModifiedBy>
  <cp:revision>26</cp:revision>
  <cp:lastPrinted>2020-12-13T07:38:00Z</cp:lastPrinted>
  <dcterms:created xsi:type="dcterms:W3CDTF">2020-11-16T10:07:00Z</dcterms:created>
  <dcterms:modified xsi:type="dcterms:W3CDTF">2020-12-13T07:43:00Z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0x010100152BB4F11CA98F4489FCD37EFF8AA03F</vt:lpwstr>
  </property>
</Properties>
</file>