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hanging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tbl>
      <w:tblPr>
        <w:tblW w:w="92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50"/>
        <w:gridCol w:w="10"/>
        <w:gridCol w:w="2737"/>
        <w:gridCol w:w="1316"/>
        <w:gridCol w:w="1156"/>
        <w:gridCol w:w="2831"/>
      </w:tblGrid>
      <w:tr>
        <w:trPr/>
        <w:tc>
          <w:tcPr>
            <w:tcW w:w="3897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7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</w:tc>
        <w:tc>
          <w:tcPr>
            <w:tcW w:w="13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987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7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</w:tc>
      </w:tr>
      <w:tr>
        <w:trPr>
          <w:trHeight w:val="703" w:hRule="atLeast"/>
        </w:trPr>
        <w:tc>
          <w:tcPr>
            <w:tcW w:w="3897" w:type="dxa"/>
            <w:gridSpan w:val="3"/>
            <w:tcBorders>
              <w:left w:val="single" w:sz="2" w:space="0" w:color="FFFFFF"/>
              <w:bottom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А.Н. Волхонский</w:t>
            </w:r>
          </w:p>
        </w:tc>
        <w:tc>
          <w:tcPr>
            <w:tcW w:w="1316" w:type="dxa"/>
            <w:tcBorders>
              <w:left w:val="single" w:sz="2" w:space="0" w:color="FFFFFF"/>
              <w:bottom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987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FFFFFF" w:val="clear"/>
          </w:tcPr>
          <w:p>
            <w:pPr>
              <w:pStyle w:val="Normal"/>
              <w:bidi w:val="0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Студенты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2-ИАИТ-24ИАИТ-119</w:t>
            </w:r>
          </w:p>
          <w:p>
            <w:pPr>
              <w:pStyle w:val="Normal"/>
              <w:bidi w:val="0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А.А. Шаталин</w:t>
            </w:r>
          </w:p>
        </w:tc>
      </w:tr>
      <w:tr>
        <w:trPr>
          <w:trHeight w:val="579" w:hRule="atLeast"/>
        </w:trPr>
        <w:tc>
          <w:tcPr>
            <w:tcW w:w="11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Личная подпись</w:t>
            </w:r>
          </w:p>
        </w:tc>
        <w:tc>
          <w:tcPr>
            <w:tcW w:w="2747" w:type="dxa"/>
            <w:gridSpan w:val="2"/>
            <w:tcBorders>
              <w:bottom w:val="single" w:sz="6" w:space="0" w:color="000000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Личная подпись</w:t>
            </w:r>
          </w:p>
        </w:tc>
        <w:tc>
          <w:tcPr>
            <w:tcW w:w="2831" w:type="dxa"/>
            <w:tcBorders>
              <w:bottom w:val="single" w:sz="6" w:space="0" w:color="000000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1150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47" w:type="dxa"/>
            <w:gridSpan w:val="2"/>
            <w:tcBorders/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16" w:type="dxa"/>
            <w:tcBorders>
              <w:left w:val="single" w:sz="2" w:space="0" w:color="FFFFFF"/>
              <w:bottom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987" w:type="dxa"/>
            <w:gridSpan w:val="2"/>
            <w:tcBorders/>
            <w:shd w:fill="FFFFFF" w:val="clear"/>
          </w:tcPr>
          <w:p>
            <w:pPr>
              <w:pStyle w:val="Normal"/>
              <w:bidi w:val="0"/>
              <w:spacing w:lineRule="auto" w:line="240"/>
              <w:jc w:val="both"/>
              <w:rPr>
                <w:rFonts w:ascii="Times New Roman" w:hAnsi="Times New Roman"/>
              </w:rPr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Т.В. Валитов</w:t>
            </w:r>
          </w:p>
        </w:tc>
      </w:tr>
      <w:tr>
        <w:trPr>
          <w:trHeight w:val="680" w:hRule="atLeast"/>
        </w:trPr>
        <w:tc>
          <w:tcPr>
            <w:tcW w:w="3897" w:type="dxa"/>
            <w:gridSpan w:val="3"/>
            <w:tcBorders/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316" w:type="dxa"/>
            <w:tcBorders/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6" w:type="dxa"/>
            <w:tcBorders/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Личная подпись</w:t>
            </w:r>
          </w:p>
        </w:tc>
        <w:tc>
          <w:tcPr>
            <w:tcW w:w="2831" w:type="dxa"/>
            <w:tcBorders>
              <w:bottom w:val="single" w:sz="6" w:space="0" w:color="000000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620" w:hRule="atLeast"/>
        </w:trPr>
        <w:tc>
          <w:tcPr>
            <w:tcW w:w="1160" w:type="dxa"/>
            <w:gridSpan w:val="2"/>
            <w:tcBorders/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737" w:type="dxa"/>
            <w:tcBorders/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16" w:type="dxa"/>
            <w:tcBorders/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987" w:type="dxa"/>
            <w:gridSpan w:val="2"/>
            <w:tcBorders/>
            <w:shd w:fill="FFFFFF" w:val="clear"/>
          </w:tcPr>
          <w:p>
            <w:pPr>
              <w:pStyle w:val="Normal"/>
              <w:bidi w:val="0"/>
              <w:spacing w:lineRule="auto" w:line="240"/>
              <w:jc w:val="both"/>
              <w:rPr>
                <w:rFonts w:ascii="Times New Roman" w:hAnsi="Times New Roman"/>
              </w:rPr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М.Д. Любченко</w:t>
            </w:r>
          </w:p>
        </w:tc>
      </w:tr>
      <w:tr>
        <w:trPr/>
        <w:tc>
          <w:tcPr>
            <w:tcW w:w="1150" w:type="dxa"/>
            <w:tcBorders/>
            <w:shd w:fill="FFFFFF" w:val="clear"/>
          </w:tcPr>
          <w:p>
            <w:pPr>
              <w:pStyle w:val="Style11"/>
              <w:bidi w:val="0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47" w:type="dxa"/>
            <w:gridSpan w:val="2"/>
            <w:tcBorders/>
            <w:shd w:fill="FFFFFF" w:val="clear"/>
          </w:tcPr>
          <w:p>
            <w:pPr>
              <w:pStyle w:val="Style11"/>
              <w:bidi w:val="0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Личная подпись</w:t>
            </w:r>
          </w:p>
        </w:tc>
        <w:tc>
          <w:tcPr>
            <w:tcW w:w="2831" w:type="dxa"/>
            <w:tcBorders>
              <w:bottom w:val="single" w:sz="6" w:space="0" w:color="000000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197" w:hRule="atLeast"/>
        </w:trPr>
        <w:tc>
          <w:tcPr>
            <w:tcW w:w="1150" w:type="dxa"/>
            <w:tcBorders/>
            <w:shd w:fill="FFFFFF" w:val="clear"/>
          </w:tcPr>
          <w:p>
            <w:pPr>
              <w:pStyle w:val="Style11"/>
              <w:bidi w:val="0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47" w:type="dxa"/>
            <w:gridSpan w:val="2"/>
            <w:tcBorders/>
            <w:shd w:fill="FFFFFF" w:val="clear"/>
          </w:tcPr>
          <w:p>
            <w:pPr>
              <w:pStyle w:val="Style11"/>
              <w:bidi w:val="0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16" w:type="dxa"/>
            <w:tcBorders>
              <w:bottom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6" w:type="dxa"/>
            <w:tcBorders>
              <w:bottom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831" w:type="dxa"/>
            <w:tcBorders/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50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2747" w:type="dxa"/>
            <w:gridSpan w:val="2"/>
            <w:tcBorders>
              <w:bottom w:val="single" w:sz="6" w:space="0" w:color="000000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16" w:type="dxa"/>
            <w:tcBorders/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6" w:type="dxa"/>
            <w:tcBorders/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2831" w:type="dxa"/>
            <w:tcBorders>
              <w:bottom w:val="single" w:sz="6" w:space="0" w:color="000000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spacing w:lineRule="auto" w:line="360"/>
        <w:ind w:hanging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bottom w:val="single" w:sz="6" w:space="0" w:color="000000"/>
            </w:tcBorders>
          </w:tcPr>
          <w:p>
            <w:pPr>
              <w:pStyle w:val="Style11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Автоматизированная система для организации peer-to-peer репетиторства</w:t>
            </w:r>
          </w:p>
        </w:tc>
      </w:tr>
      <w:tr>
        <w:trPr/>
        <w:tc>
          <w:tcPr>
            <w:tcW w:w="9355" w:type="dxa"/>
            <w:tcBorders/>
          </w:tcPr>
          <w:p>
            <w:pPr>
              <w:pStyle w:val="Style11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вида АС</w:t>
            </w:r>
          </w:p>
        </w:tc>
      </w:tr>
    </w:tbl>
    <w:p>
      <w:pPr>
        <w:pStyle w:val="Normal"/>
        <w:bidi w:val="0"/>
        <w:spacing w:lineRule="auto" w:line="360"/>
        <w:ind w:hanging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bottom w:val="single" w:sz="6" w:space="0" w:color="000000"/>
            </w:tcBorders>
          </w:tcPr>
          <w:p>
            <w:pPr>
              <w:pStyle w:val="Style11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Процесс организации занятий между репетиторами и учениками</w:t>
            </w:r>
          </w:p>
        </w:tc>
      </w:tr>
      <w:tr>
        <w:trPr/>
        <w:tc>
          <w:tcPr>
            <w:tcW w:w="9355" w:type="dxa"/>
            <w:tcBorders/>
          </w:tcPr>
          <w:p>
            <w:pPr>
              <w:pStyle w:val="Style11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объекта автоматизации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bottom w:val="single" w:sz="6" w:space="0" w:color="000000"/>
            </w:tcBorders>
          </w:tcPr>
          <w:p>
            <w:pPr>
              <w:pStyle w:val="Style11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АС «Репетитор.Просто»</w:t>
            </w:r>
          </w:p>
        </w:tc>
      </w:tr>
      <w:tr>
        <w:trPr/>
        <w:tc>
          <w:tcPr>
            <w:tcW w:w="9355" w:type="dxa"/>
            <w:tcBorders/>
          </w:tcPr>
          <w:p>
            <w:pPr>
              <w:pStyle w:val="Style11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сокращение наименование АС</w:t>
            </w:r>
          </w:p>
        </w:tc>
      </w:tr>
    </w:tbl>
    <w:p>
      <w:pPr>
        <w:pStyle w:val="Normal"/>
        <w:bidi w:val="0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ТЕХНИЧЕСКОЕ ЗАДАНИЕ</w:t>
      </w:r>
    </w:p>
    <w:p>
      <w:pPr>
        <w:pStyle w:val="Normal"/>
        <w:bidi w:val="0"/>
        <w:spacing w:lineRule="auto" w:line="360"/>
        <w:jc w:val="center"/>
        <w:rPr/>
      </w:pPr>
      <w:r>
        <w:rPr>
          <w:b w:val="false"/>
          <w:bCs w:val="false"/>
          <w:sz w:val="28"/>
          <w:szCs w:val="28"/>
          <w:lang w:val="ru-RU"/>
        </w:rPr>
        <w:t>На _ листах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Действует с 11.03.2026 г.</w:t>
      </w:r>
    </w:p>
    <w:tbl>
      <w:tblPr>
        <w:tblW w:w="39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09"/>
        <w:gridCol w:w="2790"/>
      </w:tblGrid>
      <w:tr>
        <w:trPr/>
        <w:tc>
          <w:tcPr>
            <w:tcW w:w="3899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СОГЛАСОВАНО</w:t>
            </w:r>
          </w:p>
        </w:tc>
      </w:tr>
      <w:tr>
        <w:trPr/>
        <w:tc>
          <w:tcPr>
            <w:tcW w:w="3899" w:type="dxa"/>
            <w:gridSpan w:val="2"/>
            <w:tcBorders>
              <w:left w:val="single" w:sz="2" w:space="0" w:color="FFFFFF"/>
              <w:bottom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7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Д. т. н., профессор</w:t>
            </w:r>
          </w:p>
          <w:p>
            <w:pPr>
              <w:pStyle w:val="Style11"/>
              <w:bidi w:val="0"/>
              <w:spacing w:lineRule="auto" w:line="27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А.А. Тюгашев</w:t>
            </w:r>
          </w:p>
        </w:tc>
      </w:tr>
      <w:tr>
        <w:trPr/>
        <w:tc>
          <w:tcPr>
            <w:tcW w:w="110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Личная подпись</w:t>
            </w:r>
          </w:p>
        </w:tc>
        <w:tc>
          <w:tcPr>
            <w:tcW w:w="2790" w:type="dxa"/>
            <w:tcBorders>
              <w:top w:val="single" w:sz="2" w:space="0" w:color="FFFFFF"/>
              <w:bottom w:val="single" w:sz="6" w:space="0" w:color="000000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09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9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09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2790" w:type="dxa"/>
            <w:tcBorders>
              <w:bottom w:val="single" w:sz="6" w:space="0" w:color="000000"/>
            </w:tcBorders>
            <w:shd w:fill="FFFFFF" w:val="clear"/>
          </w:tcPr>
          <w:p>
            <w:pPr>
              <w:pStyle w:val="Style11"/>
              <w:bidi w:val="0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СОДЕРЖАНИЕ</w:t>
          </w:r>
        </w:p>
        <w:p>
          <w:pPr>
            <w:pStyle w:val="TOC1"/>
            <w:tabs>
              <w:tab w:val="left" w:pos="440" w:leader="none"/>
              <w:tab w:val="right" w:pos="9355" w:leader="dot"/>
            </w:tabs>
            <w:rPr/>
          </w:pPr>
          <w:r>
            <w:fldChar w:fldCharType="begin"/>
          </w:r>
          <w:r>
            <w:rPr>
              <w:rStyle w:val="Style7"/>
              <w:sz w:val="28"/>
              <w:szCs w:val="28"/>
            </w:rPr>
            <w:instrText xml:space="preserve"> TOC \f \o "1-9" \h</w:instrText>
          </w:r>
          <w:r>
            <w:rPr>
              <w:rStyle w:val="Style7"/>
              <w:sz w:val="28"/>
              <w:szCs w:val="28"/>
            </w:rPr>
            <w:fldChar w:fldCharType="separate"/>
          </w:r>
          <w:hyperlink w:anchor="__RefHeading___Toc952_3087275504">
            <w:r>
              <w:rPr>
                <w:rStyle w:val="Style7"/>
                <w:sz w:val="28"/>
                <w:szCs w:val="28"/>
              </w:rPr>
              <w:t>1.</w:t>
              <w:tab/>
              <w:t>Общие сведения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left" w:pos="880" w:leader="none"/>
              <w:tab w:val="right" w:pos="9355" w:leader="dot"/>
            </w:tabs>
            <w:rPr/>
          </w:pPr>
          <w:hyperlink w:anchor="__RefHeading___Toc954_3087275504">
            <w:r>
              <w:rPr>
                <w:rStyle w:val="Style7"/>
                <w:sz w:val="28"/>
                <w:szCs w:val="28"/>
              </w:rPr>
              <w:t>1.1.</w:t>
              <w:tab/>
              <w:t>Полное наименование системы и ее условное обозначение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left" w:pos="880" w:leader="none"/>
              <w:tab w:val="right" w:pos="9355" w:leader="dot"/>
            </w:tabs>
            <w:rPr/>
          </w:pPr>
          <w:hyperlink w:anchor="__RefHeading___Toc956_3087275504">
            <w:r>
              <w:rPr>
                <w:rStyle w:val="Style7"/>
                <w:sz w:val="28"/>
                <w:szCs w:val="28"/>
              </w:rPr>
              <w:t>1.2.</w:t>
              <w:tab/>
              <w:t>Шифр темы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left" w:pos="880" w:leader="none"/>
              <w:tab w:val="right" w:pos="9355" w:leader="dot"/>
            </w:tabs>
            <w:rPr/>
          </w:pPr>
          <w:hyperlink w:anchor="__RefHeading___Toc958_3087275504">
            <w:r>
              <w:rPr>
                <w:rStyle w:val="Style7"/>
                <w:sz w:val="28"/>
                <w:szCs w:val="28"/>
              </w:rPr>
              <w:t>1.3.</w:t>
              <w:tab/>
              <w:t>Наименования предприятий разработчика и заказчика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left" w:pos="880" w:leader="none"/>
              <w:tab w:val="right" w:pos="9355" w:leader="dot"/>
            </w:tabs>
            <w:rPr/>
          </w:pPr>
          <w:hyperlink w:anchor="__RefHeading___Toc962_3087275504">
            <w:r>
              <w:rPr>
                <w:rStyle w:val="Style7"/>
                <w:sz w:val="28"/>
                <w:szCs w:val="28"/>
              </w:rPr>
              <w:t>1.4.</w:t>
              <w:tab/>
              <w:t>Плановые сроки начала и окончания работы по созданию системы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left" w:pos="880" w:leader="none"/>
              <w:tab w:val="right" w:pos="9355" w:leader="dot"/>
            </w:tabs>
            <w:rPr/>
          </w:pPr>
          <w:hyperlink w:anchor="__RefHeading___Toc966_3087275504">
            <w:r>
              <w:rPr>
                <w:rStyle w:val="Style7"/>
                <w:sz w:val="28"/>
                <w:szCs w:val="28"/>
              </w:rPr>
              <w:t>1.5.</w:t>
              <w:tab/>
              <w:t>Порядок оформления и предъявления результатов работ по созданию системы</w:t>
              <w:tab/>
              <w:t>3</w:t>
            </w:r>
          </w:hyperlink>
        </w:p>
        <w:p>
          <w:pPr>
            <w:pStyle w:val="TOC1"/>
            <w:tabs>
              <w:tab w:val="left" w:pos="440" w:leader="none"/>
              <w:tab w:val="right" w:pos="9355" w:leader="dot"/>
            </w:tabs>
            <w:rPr/>
          </w:pPr>
          <w:hyperlink w:anchor="__RefHeading___Toc968_3087275504">
            <w:r>
              <w:rPr>
                <w:rStyle w:val="Style7"/>
                <w:sz w:val="28"/>
                <w:szCs w:val="28"/>
              </w:rPr>
              <w:t>2.</w:t>
              <w:tab/>
              <w:t>Назначение и цели создания системы</w:t>
              <w:tab/>
              <w:t>4</w:t>
            </w:r>
          </w:hyperlink>
        </w:p>
        <w:p>
          <w:pPr>
            <w:pStyle w:val="TOC2"/>
            <w:tabs>
              <w:tab w:val="clear" w:pos="9072"/>
              <w:tab w:val="left" w:pos="880" w:leader="none"/>
              <w:tab w:val="right" w:pos="9355" w:leader="dot"/>
            </w:tabs>
            <w:rPr/>
          </w:pPr>
          <w:hyperlink w:anchor="__RefHeading___Toc970_3087275504">
            <w:r>
              <w:rPr>
                <w:rStyle w:val="Style7"/>
                <w:sz w:val="28"/>
                <w:szCs w:val="28"/>
              </w:rPr>
              <w:t>2.1.</w:t>
              <w:tab/>
              <w:t>Назначение системы</w:t>
              <w:tab/>
              <w:t>4</w:t>
            </w:r>
          </w:hyperlink>
        </w:p>
        <w:p>
          <w:pPr>
            <w:pStyle w:val="TOC2"/>
            <w:tabs>
              <w:tab w:val="clear" w:pos="9072"/>
              <w:tab w:val="left" w:pos="880" w:leader="none"/>
              <w:tab w:val="right" w:pos="9355" w:leader="dot"/>
            </w:tabs>
            <w:rPr/>
          </w:pPr>
          <w:hyperlink w:anchor="__RefHeading___Toc972_3087275504">
            <w:r>
              <w:rPr>
                <w:rStyle w:val="Style7"/>
                <w:sz w:val="28"/>
                <w:szCs w:val="28"/>
              </w:rPr>
              <w:t>2.2.</w:t>
              <w:tab/>
              <w:t>Цели создания системы</w:t>
              <w:tab/>
              <w:t>4</w:t>
            </w:r>
          </w:hyperlink>
        </w:p>
        <w:p>
          <w:pPr>
            <w:pStyle w:val="TOC1"/>
            <w:tabs>
              <w:tab w:val="left" w:pos="440" w:leader="none"/>
              <w:tab w:val="right" w:pos="9355" w:leader="dot"/>
            </w:tabs>
            <w:rPr/>
          </w:pPr>
          <w:hyperlink w:anchor="__RefHeading___Toc974_3087275504">
            <w:r>
              <w:rPr>
                <w:rStyle w:val="Style7"/>
                <w:sz w:val="28"/>
                <w:szCs w:val="28"/>
              </w:rPr>
              <w:t>3.</w:t>
              <w:tab/>
              <w:t xml:space="preserve"> Характеристика объекта автоматизации</w:t>
              <w:tab/>
              <w:t>5</w:t>
            </w:r>
          </w:hyperlink>
        </w:p>
        <w:p>
          <w:pPr>
            <w:pStyle w:val="TOC2"/>
            <w:tabs>
              <w:tab w:val="clear" w:pos="9072"/>
              <w:tab w:val="left" w:pos="880" w:leader="none"/>
              <w:tab w:val="right" w:pos="9355" w:leader="dot"/>
            </w:tabs>
            <w:rPr/>
          </w:pPr>
          <w:hyperlink w:anchor="__RefHeading___Toc976_3087275504">
            <w:r>
              <w:rPr>
                <w:rStyle w:val="Style7"/>
                <w:sz w:val="28"/>
                <w:szCs w:val="28"/>
              </w:rPr>
              <w:t>3.1.</w:t>
              <w:tab/>
              <w:t>Краткие сведения об объекте автоматизации</w:t>
              <w:tab/>
              <w:t>5</w:t>
            </w:r>
          </w:hyperlink>
        </w:p>
        <w:p>
          <w:pPr>
            <w:pStyle w:val="TOC2"/>
            <w:tabs>
              <w:tab w:val="clear" w:pos="9072"/>
              <w:tab w:val="left" w:pos="880" w:leader="none"/>
              <w:tab w:val="right" w:pos="9355" w:leader="dot"/>
            </w:tabs>
            <w:rPr/>
          </w:pPr>
          <w:hyperlink w:anchor="__RefHeading___Toc978_3087275504">
            <w:r>
              <w:rPr>
                <w:rStyle w:val="Style7"/>
                <w:sz w:val="28"/>
                <w:szCs w:val="28"/>
              </w:rPr>
              <w:t>3.2.</w:t>
              <w:tab/>
              <w:t>Сведения об условиях эксплуатации объекта автоматизации</w:t>
              <w:tab/>
              <w:t>6</w:t>
            </w:r>
          </w:hyperlink>
        </w:p>
        <w:p>
          <w:pPr>
            <w:pStyle w:val="TOC1"/>
            <w:tabs>
              <w:tab w:val="left" w:pos="440" w:leader="none"/>
              <w:tab w:val="right" w:pos="9355" w:leader="dot"/>
            </w:tabs>
            <w:rPr/>
          </w:pPr>
          <w:hyperlink w:anchor="__RefHeading___Toc980_3087275504">
            <w:r>
              <w:rPr>
                <w:rStyle w:val="Style7"/>
                <w:sz w:val="28"/>
                <w:szCs w:val="28"/>
              </w:rPr>
              <w:t>4.</w:t>
              <w:tab/>
              <w:t>Требования к системе</w:t>
              <w:tab/>
              <w:t>8</w:t>
            </w:r>
          </w:hyperlink>
        </w:p>
        <w:p>
          <w:pPr>
            <w:pStyle w:val="TOC2"/>
            <w:tabs>
              <w:tab w:val="clear" w:pos="9072"/>
              <w:tab w:val="left" w:pos="880" w:leader="none"/>
              <w:tab w:val="right" w:pos="9355" w:leader="dot"/>
            </w:tabs>
            <w:rPr/>
          </w:pPr>
          <w:hyperlink w:anchor="__RefHeading___Toc982_3087275504">
            <w:r>
              <w:rPr>
                <w:rStyle w:val="Style7"/>
                <w:sz w:val="28"/>
                <w:szCs w:val="28"/>
              </w:rPr>
              <w:t>4.1.</w:t>
              <w:tab/>
              <w:t>Требования к системе в целом</w:t>
              <w:tab/>
              <w:t>8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70_3087275504">
            <w:r>
              <w:rPr>
                <w:rStyle w:val="Style7"/>
                <w:sz w:val="28"/>
                <w:szCs w:val="28"/>
              </w:rPr>
              <w:t>4.1.1.</w:t>
              <w:tab/>
              <w:t>Требования к структуре и функционированию системы</w:t>
              <w:tab/>
              <w:t>8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72_3087275504">
            <w:r>
              <w:rPr>
                <w:rStyle w:val="Style7"/>
                <w:sz w:val="28"/>
                <w:szCs w:val="28"/>
              </w:rPr>
              <w:t>4.1.2.</w:t>
              <w:tab/>
              <w:t>Требования к численности и квалификации персонала</w:t>
              <w:tab/>
              <w:t>9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10_3087275504">
            <w:r>
              <w:rPr>
                <w:rStyle w:val="Style7"/>
                <w:sz w:val="28"/>
                <w:szCs w:val="28"/>
              </w:rPr>
              <w:t>4.1.3.</w:t>
              <w:tab/>
              <w:t>Требования к надежности</w:t>
              <w:tab/>
              <w:t>10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12_3087275504">
            <w:r>
              <w:rPr>
                <w:rStyle w:val="Style7"/>
                <w:sz w:val="28"/>
                <w:szCs w:val="28"/>
              </w:rPr>
              <w:t>4.1.4.</w:t>
              <w:tab/>
              <w:t>Требования к эргономике и технической эстетике</w:t>
              <w:tab/>
              <w:t>10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14_3087275504">
            <w:r>
              <w:rPr>
                <w:rStyle w:val="Style7"/>
                <w:sz w:val="28"/>
                <w:szCs w:val="28"/>
              </w:rPr>
              <w:t>4.1.5.</w:t>
              <w:tab/>
              <w:t>Требования к безопасности</w:t>
              <w:tab/>
              <w:t>11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16_3087275504">
            <w:r>
              <w:rPr>
                <w:rStyle w:val="Style7"/>
                <w:sz w:val="28"/>
                <w:szCs w:val="28"/>
              </w:rPr>
              <w:t>4.1.6.</w:t>
              <w:tab/>
              <w:t>Требования к эксплуатации, техническому обслуживанию, ремонту</w:t>
              <w:tab/>
              <w:t>11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18_3087275504">
            <w:r>
              <w:rPr>
                <w:rStyle w:val="Style7"/>
                <w:sz w:val="28"/>
                <w:szCs w:val="28"/>
              </w:rPr>
              <w:t>4.1.7.</w:t>
              <w:tab/>
              <w:t>Требования к защите информации от несанкционированного доступа</w:t>
              <w:tab/>
              <w:t>11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20_3087275504">
            <w:r>
              <w:rPr>
                <w:rStyle w:val="Style7"/>
                <w:sz w:val="28"/>
                <w:szCs w:val="28"/>
              </w:rPr>
              <w:t>4.1.8.</w:t>
              <w:tab/>
              <w:t>Требования по стандартизации и унификации</w:t>
              <w:tab/>
              <w:t>12</w:t>
            </w:r>
          </w:hyperlink>
        </w:p>
        <w:p>
          <w:pPr>
            <w:pStyle w:val="TOC2"/>
            <w:tabs>
              <w:tab w:val="clear" w:pos="9072"/>
              <w:tab w:val="left" w:pos="880" w:leader="none"/>
              <w:tab w:val="right" w:pos="9355" w:leader="dot"/>
            </w:tabs>
            <w:rPr/>
          </w:pPr>
          <w:hyperlink w:anchor="__RefHeading___Toc1022_3087275504">
            <w:r>
              <w:rPr>
                <w:rStyle w:val="Style7"/>
                <w:sz w:val="28"/>
                <w:szCs w:val="28"/>
              </w:rPr>
              <w:t>4.2.</w:t>
              <w:tab/>
              <w:t>Требования к функциям (задачам)</w:t>
              <w:tab/>
              <w:t>12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24_3087275504">
            <w:r>
              <w:rPr>
                <w:rStyle w:val="Style7"/>
                <w:sz w:val="28"/>
                <w:szCs w:val="28"/>
              </w:rPr>
              <w:t>4.2.1.</w:t>
              <w:tab/>
              <w:t>Перечень функций с описанием входной и выходной информации</w:t>
              <w:tab/>
              <w:t>12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26_3087275504">
            <w:r>
              <w:rPr>
                <w:rStyle w:val="Style7"/>
                <w:sz w:val="28"/>
                <w:szCs w:val="28"/>
              </w:rPr>
              <w:t>4.2.2.</w:t>
              <w:tab/>
              <w:t>Временные регламенты реализации функций</w:t>
              <w:tab/>
              <w:t>14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28_3087275504">
            <w:r>
              <w:rPr>
                <w:rStyle w:val="Style7"/>
                <w:sz w:val="28"/>
                <w:szCs w:val="28"/>
              </w:rPr>
              <w:t>4.2.3.</w:t>
              <w:tab/>
              <w:t>Требования к качеству реализации</w:t>
              <w:tab/>
              <w:t>14</w:t>
            </w:r>
          </w:hyperlink>
        </w:p>
        <w:p>
          <w:pPr>
            <w:pStyle w:val="TOC2"/>
            <w:tabs>
              <w:tab w:val="clear" w:pos="9072"/>
              <w:tab w:val="left" w:pos="880" w:leader="none"/>
              <w:tab w:val="right" w:pos="9355" w:leader="dot"/>
            </w:tabs>
            <w:rPr/>
          </w:pPr>
          <w:hyperlink w:anchor="__RefHeading___Toc1030_3087275504">
            <w:r>
              <w:rPr>
                <w:rStyle w:val="Style7"/>
                <w:sz w:val="28"/>
                <w:szCs w:val="28"/>
              </w:rPr>
              <w:t>4.3.</w:t>
              <w:tab/>
              <w:t>Требования к видам обеспечения</w:t>
              <w:tab/>
              <w:t>15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32_3087275504">
            <w:r>
              <w:rPr>
                <w:rStyle w:val="Style7"/>
                <w:sz w:val="28"/>
                <w:szCs w:val="28"/>
              </w:rPr>
              <w:t>4.3.1.</w:t>
              <w:tab/>
              <w:t>Требования к информационному обеспечению</w:t>
              <w:tab/>
              <w:t>15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34_3087275504">
            <w:r>
              <w:rPr>
                <w:rStyle w:val="Style7"/>
                <w:sz w:val="28"/>
                <w:szCs w:val="28"/>
              </w:rPr>
              <w:t>4.3.2.</w:t>
              <w:tab/>
              <w:t>Требования к лингвистическому обеспечению</w:t>
              <w:tab/>
              <w:t>17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36_3087275504">
            <w:r>
              <w:rPr>
                <w:rStyle w:val="Style7"/>
                <w:sz w:val="28"/>
                <w:szCs w:val="28"/>
              </w:rPr>
              <w:t>4.3.3.</w:t>
              <w:tab/>
              <w:t>Требования к программному обеспечению</w:t>
              <w:tab/>
              <w:t>18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38_3087275504">
            <w:r>
              <w:rPr>
                <w:rStyle w:val="Style7"/>
                <w:sz w:val="28"/>
                <w:szCs w:val="28"/>
              </w:rPr>
              <w:t>4.3.4.</w:t>
              <w:tab/>
              <w:t>Требования к техническому обеспечению</w:t>
              <w:tab/>
              <w:t>18</w:t>
            </w:r>
          </w:hyperlink>
        </w:p>
        <w:p>
          <w:pPr>
            <w:pStyle w:val="TOC3"/>
            <w:tabs>
              <w:tab w:val="clear" w:pos="8788"/>
              <w:tab w:val="left" w:pos="1320" w:leader="none"/>
              <w:tab w:val="right" w:pos="9355" w:leader="dot"/>
            </w:tabs>
            <w:rPr/>
          </w:pPr>
          <w:hyperlink w:anchor="__RefHeading___Toc1040_3087275504">
            <w:r>
              <w:rPr>
                <w:rStyle w:val="Style7"/>
                <w:sz w:val="28"/>
                <w:szCs w:val="28"/>
              </w:rPr>
              <w:t>4.3.5.</w:t>
              <w:tab/>
              <w:t>Требования к методическому обеспечению</w:t>
              <w:tab/>
              <w:t>19</w:t>
            </w:r>
          </w:hyperlink>
        </w:p>
        <w:p>
          <w:pPr>
            <w:pStyle w:val="TOC1"/>
            <w:tabs>
              <w:tab w:val="left" w:pos="440" w:leader="none"/>
              <w:tab w:val="right" w:pos="9355" w:leader="dot"/>
            </w:tabs>
            <w:rPr/>
          </w:pPr>
          <w:hyperlink w:anchor="__RefHeading___Toc1044_3087275504">
            <w:r>
              <w:rPr>
                <w:rStyle w:val="Style7"/>
                <w:sz w:val="28"/>
                <w:szCs w:val="28"/>
              </w:rPr>
              <w:t>5.</w:t>
              <w:tab/>
              <w:t>Состав и содержание работ по созданию системы</w:t>
              <w:tab/>
              <w:t>21</w:t>
            </w:r>
          </w:hyperlink>
        </w:p>
        <w:p>
          <w:pPr>
            <w:pStyle w:val="TOC1"/>
            <w:tabs>
              <w:tab w:val="left" w:pos="440" w:leader="none"/>
              <w:tab w:val="right" w:pos="9355" w:leader="dot"/>
            </w:tabs>
            <w:rPr/>
          </w:pPr>
          <w:hyperlink w:anchor="__RefHeading___Toc1046_3087275504">
            <w:r>
              <w:rPr>
                <w:rStyle w:val="Style7"/>
                <w:sz w:val="28"/>
                <w:szCs w:val="28"/>
              </w:rPr>
              <w:t>6.</w:t>
              <w:tab/>
              <w:t>Порядок контроля и приемки системы</w:t>
              <w:tab/>
              <w:t>22</w:t>
            </w:r>
          </w:hyperlink>
        </w:p>
        <w:p>
          <w:pPr>
            <w:pStyle w:val="TOC1"/>
            <w:tabs>
              <w:tab w:val="left" w:pos="440" w:leader="none"/>
              <w:tab w:val="right" w:pos="9355" w:leader="dot"/>
            </w:tabs>
            <w:rPr/>
          </w:pPr>
          <w:hyperlink w:anchor="__RefHeading___Toc1048_3087275504">
            <w:r>
              <w:rPr>
                <w:rStyle w:val="Style7"/>
                <w:sz w:val="28"/>
                <w:szCs w:val="28"/>
              </w:rPr>
              <w:t>7.</w:t>
              <w:tab/>
              <w:t>Требования к составу и содержанию работ по подготовке объекта автоматизации к вводу системы в действие.</w:t>
              <w:tab/>
              <w:t>23</w:t>
            </w:r>
          </w:hyperlink>
        </w:p>
        <w:p>
          <w:pPr>
            <w:pStyle w:val="TOC1"/>
            <w:tabs>
              <w:tab w:val="left" w:pos="440" w:leader="none"/>
              <w:tab w:val="right" w:pos="9355" w:leader="dot"/>
            </w:tabs>
            <w:rPr/>
          </w:pPr>
          <w:hyperlink w:anchor="__RefHeading___Toc1050_3087275504">
            <w:r>
              <w:rPr>
                <w:rStyle w:val="Style7"/>
                <w:sz w:val="28"/>
                <w:szCs w:val="28"/>
              </w:rPr>
              <w:t>8.</w:t>
              <w:tab/>
              <w:t>Требования к документированию</w:t>
              <w:tab/>
              <w:t>25</w:t>
            </w:r>
          </w:hyperlink>
        </w:p>
        <w:p>
          <w:pPr>
            <w:pStyle w:val="TOC1"/>
            <w:tabs>
              <w:tab w:val="left" w:pos="440" w:leader="none"/>
              <w:tab w:val="right" w:pos="9355" w:leader="dot"/>
            </w:tabs>
            <w:rPr/>
          </w:pPr>
          <w:hyperlink w:anchor="__RefHeading___Toc1052_3087275504">
            <w:r>
              <w:rPr>
                <w:rStyle w:val="Style7"/>
                <w:sz w:val="28"/>
                <w:szCs w:val="28"/>
              </w:rPr>
              <w:t>9.</w:t>
              <w:tab/>
              <w:t>Источники разработки</w:t>
              <w:tab/>
            </w:r>
            <w:r>
              <w:rPr>
                <w:rStyle w:val="Style7"/>
              </w:rPr>
              <w:t>26</w:t>
            </w:r>
          </w:hyperlink>
          <w:r>
            <w:rPr>
              <w:rStyle w:val="Style7"/>
            </w:rPr>
            <w:fldChar w:fldCharType="end"/>
          </w:r>
        </w:p>
      </w:sdtContent>
    </w:sdt>
    <w:p>
      <w:pPr>
        <w:pStyle w:val="Heading1"/>
        <w:spacing w:lineRule="auto" w:line="360"/>
        <w:rPr/>
      </w:pPr>
      <w:bookmarkStart w:id="0" w:name="__RefHeading___Toc952_3087275504"/>
      <w:bookmarkEnd w:id="0"/>
      <w:r>
        <w:rPr/>
        <w:t>Общие сведения</w:t>
      </w:r>
    </w:p>
    <w:p>
      <w:pPr>
        <w:pStyle w:val="Heading2"/>
        <w:rPr/>
      </w:pPr>
      <w:bookmarkStart w:id="1" w:name="__RefHeading___Toc954_3087275504"/>
      <w:bookmarkEnd w:id="1"/>
      <w:r>
        <w:rPr/>
        <w:t>Полное наименование системы и ее условное обозначение</w:t>
      </w:r>
    </w:p>
    <w:p>
      <w:pPr>
        <w:pStyle w:val="BodyText"/>
        <w:rPr/>
      </w:pPr>
      <w:r>
        <w:rPr/>
        <w:t>Полное наименование системы: платформа для организации peer-to-peer репетиторства «Репетитор.Просто» (далее – Система).</w:t>
      </w:r>
    </w:p>
    <w:p>
      <w:pPr>
        <w:pStyle w:val="Heading2"/>
        <w:rPr/>
      </w:pPr>
      <w:bookmarkStart w:id="2" w:name="__RefHeading___Toc956_3087275504"/>
      <w:bookmarkEnd w:id="2"/>
      <w:r>
        <w:rPr/>
        <w:t>Шифр темы</w:t>
      </w:r>
    </w:p>
    <w:p>
      <w:pPr>
        <w:pStyle w:val="BodyText"/>
        <w:rPr/>
      </w:pPr>
      <w:r>
        <w:rPr>
          <w:b w:val="false"/>
          <w:bCs w:val="false"/>
          <w:sz w:val="28"/>
          <w:szCs w:val="28"/>
        </w:rPr>
        <w:t>Шифр темы: 28</w:t>
      </w:r>
    </w:p>
    <w:p>
      <w:pPr>
        <w:pStyle w:val="Heading2"/>
        <w:rPr/>
      </w:pPr>
      <w:bookmarkStart w:id="3" w:name="__RefHeading___Toc958_3087275504"/>
      <w:bookmarkEnd w:id="3"/>
      <w:r>
        <w:rPr/>
        <w:t>Наименования предприятий разработчика и заказчика</w:t>
      </w:r>
    </w:p>
    <w:p>
      <w:pPr>
        <w:pStyle w:val="BodyText"/>
        <w:rPr/>
      </w:pPr>
      <w:r>
        <w:rPr>
          <w:b w:val="false"/>
          <w:bCs w:val="false"/>
          <w:sz w:val="28"/>
          <w:szCs w:val="28"/>
        </w:rPr>
        <w:t>Заказчик: Волхонский А. Н.</w:t>
      </w:r>
    </w:p>
    <w:p>
      <w:pPr>
        <w:pStyle w:val="BodyText"/>
        <w:rPr/>
      </w:pPr>
      <w:r>
        <w:rPr>
          <w:b w:val="false"/>
          <w:bCs w:val="false"/>
          <w:sz w:val="28"/>
          <w:szCs w:val="28"/>
        </w:rPr>
        <w:t xml:space="preserve">Разработчик: Студенческая группа 2-ИАИТ-119: Валитов Т.В.,         Шаталин А.А., Любченко М.Д. </w:t>
      </w:r>
    </w:p>
    <w:p>
      <w:pPr>
        <w:pStyle w:val="Heading2"/>
        <w:rPr/>
      </w:pPr>
      <w:bookmarkStart w:id="4" w:name="__RefHeading___Toc962_3087275504"/>
      <w:bookmarkEnd w:id="4"/>
      <w:r>
        <w:rPr/>
        <w:t>Плановые сроки начала и окончания работы по созданию системы</w:t>
      </w:r>
    </w:p>
    <w:p>
      <w:pPr>
        <w:pStyle w:val="BodyText"/>
        <w:rPr/>
      </w:pPr>
      <w:r>
        <w:rPr/>
        <w:t>Плановые сроки выполнения работы: 11.02.2026 по 28.05.2026</w:t>
      </w:r>
    </w:p>
    <w:p>
      <w:pPr>
        <w:pStyle w:val="Heading2"/>
        <w:rPr/>
      </w:pPr>
      <w:bookmarkStart w:id="5" w:name="__RefHeading___Toc966_3087275504"/>
      <w:bookmarkEnd w:id="5"/>
      <w:r>
        <w:rPr/>
        <w:t>Порядок оформления и предъявления результатов работ по созданию системы</w:t>
      </w:r>
    </w:p>
    <w:p>
      <w:pPr>
        <w:pStyle w:val="BodyText"/>
        <w:rPr/>
      </w:pPr>
      <w:r>
        <w:rPr>
          <w:b w:val="false"/>
          <w:bCs w:val="false"/>
          <w:sz w:val="28"/>
          <w:szCs w:val="28"/>
        </w:rPr>
        <w:t>Порядок оформления: Документ оформляется в формате .docx согласно ГОСТ 2.105-95, ГОСТ 7.32-2017, ГОСТ 2.104-2006; предъявляется в электронном виде через образовательную платформу университета с титульным листом, содержащим условные подписи разработчиков и заказчика</w:t>
      </w:r>
    </w:p>
    <w:p>
      <w:pPr>
        <w:pStyle w:val="Heading1"/>
        <w:widowControl/>
        <w:numPr>
          <w:ilvl w:val="0"/>
          <w:numId w:val="0"/>
        </w:numPr>
        <w:suppressAutoHyphens w:val="true"/>
        <w:ind w:hanging="0" w:left="0"/>
        <w:jc w:val="both"/>
        <w:rPr/>
      </w:pPr>
      <w:r>
        <w:rPr/>
      </w:r>
      <w:r>
        <w:br w:type="page"/>
      </w:r>
    </w:p>
    <w:p>
      <w:pPr>
        <w:pStyle w:val="Heading1"/>
        <w:spacing w:lineRule="auto" w:line="240"/>
        <w:ind w:hanging="0" w:left="0"/>
        <w:rPr/>
      </w:pPr>
      <w:bookmarkStart w:id="6" w:name="__RefHeading___Toc968_3087275504"/>
      <w:bookmarkEnd w:id="6"/>
      <w:r>
        <w:rPr/>
        <w:t>Назначение и цели создания системы</w:t>
      </w:r>
    </w:p>
    <w:p>
      <w:pPr>
        <w:pStyle w:val="Heading2"/>
        <w:spacing w:lineRule="auto" w:line="240"/>
        <w:rPr/>
      </w:pPr>
      <w:bookmarkStart w:id="7" w:name="__RefHeading___Toc970_3087275504"/>
      <w:bookmarkEnd w:id="7"/>
      <w:r>
        <w:rPr/>
        <w:t>Назначение системы</w:t>
      </w:r>
    </w:p>
    <w:p>
      <w:pPr>
        <w:pStyle w:val="BodyText"/>
        <w:spacing w:before="0" w:after="83"/>
        <w:rPr/>
      </w:pPr>
      <w:r>
        <w:rPr/>
        <w:t xml:space="preserve">Платформа для peer-to-peer репетиторства – это цифровое решение, соединяющее частных репетиторов и учеников для организации индивидуальных занятий «один на один». Система фокусируется на упрощении поиска подходящего специалиста, согласовании расписания, организации оплаты и обеспечении базовой инфраструктуры для проведения занятий (включая интеграцию с видеосервисами). </w:t>
      </w:r>
    </w:p>
    <w:p>
      <w:pPr>
        <w:pStyle w:val="BodyText"/>
        <w:spacing w:before="0" w:after="83"/>
        <w:rPr/>
      </w:pPr>
      <w:r>
        <w:rPr/>
        <w:t>Важно подчеркнуть: платформа не является онлайн-школой – на каждом занятии присутствуют только два участника: репетитор и ученик. Система решает ключевые проблемы: неэффективный поиск репетиторов «по знакомству», сложности с согласованием расписания, отсутствие прозрачной системы оплаты и отсутствие обратной связи для формирования репутации специалистов.</w:t>
      </w:r>
    </w:p>
    <w:p>
      <w:pPr>
        <w:pStyle w:val="Heading2"/>
        <w:spacing w:lineRule="auto" w:line="240"/>
        <w:rPr/>
      </w:pPr>
      <w:bookmarkStart w:id="8" w:name="__RefHeading___Toc972_3087275504"/>
      <w:bookmarkEnd w:id="8"/>
      <w:r>
        <w:rPr/>
        <w:t>Цели создания системы</w:t>
      </w:r>
    </w:p>
    <w:p>
      <w:pPr>
        <w:pStyle w:val="BodyText"/>
        <w:rPr/>
      </w:pPr>
      <w:r>
        <w:rPr>
          <w:sz w:val="28"/>
          <w:szCs w:val="28"/>
        </w:rPr>
        <w:t>Цель работы: Приобрести навыки анализа предметной области и выявления требований к программной системе, научиться формулировать границы проектирования и выделять ключевые роли пользователей.</w:t>
      </w:r>
    </w:p>
    <w:p>
      <w:pPr>
        <w:pStyle w:val="BodyText"/>
        <w:spacing w:lineRule="auto" w:line="240"/>
        <w:rPr/>
      </w:pPr>
      <w:r>
        <w:rPr>
          <w:sz w:val="28"/>
          <w:szCs w:val="28"/>
        </w:rPr>
        <w:t xml:space="preserve">Критерии оценки достижения целей: </w:t>
      </w:r>
    </w:p>
    <w:p>
      <w:pPr>
        <w:pStyle w:val="BodyText"/>
        <w:spacing w:lineRule="auto" w:line="240"/>
        <w:rPr/>
      </w:pPr>
      <w:r>
        <w:rPr>
          <w:sz w:val="28"/>
          <w:szCs w:val="28"/>
        </w:rPr>
        <w:t>1) Анализ логов пользовательских сессий (время от входа до бронирования)</w:t>
      </w:r>
    </w:p>
    <w:p>
      <w:pPr>
        <w:pStyle w:val="BodyText"/>
        <w:spacing w:lineRule="auto" w:line="240"/>
        <w:rPr/>
      </w:pPr>
      <w:r>
        <w:rPr>
          <w:sz w:val="28"/>
          <w:szCs w:val="28"/>
        </w:rPr>
        <w:t>2) Тестирование функции блокировки слотов при конкурентном доступе</w:t>
      </w:r>
    </w:p>
    <w:p>
      <w:pPr>
        <w:pStyle w:val="BodyText"/>
        <w:spacing w:lineRule="auto" w:line="240"/>
        <w:rPr/>
      </w:pPr>
      <w:r>
        <w:rPr>
          <w:sz w:val="28"/>
          <w:szCs w:val="28"/>
        </w:rPr>
        <w:t>3) Статистика платежного шлюза и обращений в поддержку</w:t>
      </w:r>
    </w:p>
    <w:p>
      <w:pPr>
        <w:pStyle w:val="BodyText"/>
        <w:spacing w:lineRule="auto" w:line="360"/>
        <w:rPr/>
      </w:pPr>
      <w:r>
        <w:rPr>
          <w:sz w:val="28"/>
          <w:szCs w:val="28"/>
        </w:rPr>
        <w:t>4) Доля занятий, начавшихся в запланированное время</w:t>
      </w:r>
    </w:p>
    <w:p>
      <w:pPr>
        <w:pStyle w:val="BodyText"/>
        <w:spacing w:lineRule="auto" w:line="360"/>
        <w:rPr/>
      </w:pPr>
      <w:r>
        <w:rPr>
          <w:sz w:val="28"/>
          <w:szCs w:val="28"/>
        </w:rPr>
        <w:t>5) Время отклика системы при выполнении ключевых операций (поиск, бронирование)</w:t>
      </w:r>
    </w:p>
    <w:p>
      <w:pPr>
        <w:pStyle w:val="Heading1"/>
        <w:ind w:hanging="0" w:left="0"/>
        <w:rPr>
          <w:rFonts w:ascii="Times New Roman" w:hAnsi="Times New Roman"/>
          <w:sz w:val="28"/>
          <w:szCs w:val="28"/>
        </w:rPr>
      </w:pPr>
      <w:bookmarkStart w:id="9" w:name="__RefHeading___Toc974_3087275504"/>
      <w:bookmarkEnd w:id="9"/>
      <w:r>
        <w:rPr/>
        <w:t xml:space="preserve"> </w:t>
      </w:r>
      <w:r>
        <w:rPr/>
        <w:t>Характеристика объекта автоматизации</w:t>
      </w:r>
    </w:p>
    <w:p>
      <w:pPr>
        <w:pStyle w:val="Heading2"/>
        <w:rPr/>
      </w:pPr>
      <w:bookmarkStart w:id="10" w:name="__RefHeading___Toc976_3087275504"/>
      <w:bookmarkEnd w:id="10"/>
      <w:r>
        <w:rPr/>
        <w:t>Краткие сведения об объекте автоматизации</w:t>
      </w:r>
    </w:p>
    <w:p>
      <w:pPr>
        <w:pStyle w:val="BodyText"/>
        <w:rPr/>
      </w:pPr>
      <w:r>
        <w:rPr/>
        <w:t>Объектом автоматизации является процесс организации и проведения индивидуальных образовательных услуг в формате «репетитор – ученик» (peer-to-peer, 1:1). Деятельность осуществляется независимыми специалистами (репетиторами) и заказчиками услуг (учениками или их законными представителями – родителями).</w:t>
      </w:r>
    </w:p>
    <w:p>
      <w:pPr>
        <w:pStyle w:val="BodyText"/>
        <w:rPr/>
      </w:pPr>
      <w:r>
        <w:rPr/>
        <w:t>Основные участники процесса:</w:t>
      </w:r>
    </w:p>
    <w:p>
      <w:pPr>
        <w:pStyle w:val="BodyText"/>
        <w:rPr/>
      </w:pPr>
      <w:r>
        <w:rPr/>
        <w:t>Репетитор – независимый специалист, предоставляющий образовательные услуги, формирующий собственное расписание и определяющий стоимость занятий.</w:t>
      </w:r>
    </w:p>
    <w:p>
      <w:pPr>
        <w:pStyle w:val="BodyText"/>
        <w:rPr/>
      </w:pPr>
      <w:r>
        <w:rPr/>
        <w:t>Ученик – получатель образовательных услуг, заинтересованный в повышении успеваемости или освоении новых навыков.</w:t>
      </w:r>
    </w:p>
    <w:p>
      <w:pPr>
        <w:pStyle w:val="BodyText"/>
        <w:rPr/>
      </w:pPr>
      <w:r>
        <w:rPr/>
        <w:t>Родитель – законный представитель ученика (для несовершеннолетних), осуществляющий контроль качества услуг и финансовые расчёты.</w:t>
      </w:r>
    </w:p>
    <w:p>
      <w:pPr>
        <w:pStyle w:val="BodyText"/>
        <w:rPr/>
      </w:pPr>
      <w:r>
        <w:rPr/>
        <w:t>Гость – незарегистрированный пользователь, имеющий возможность ознакомиться с платформой и найти репетитора до момента регистрации.</w:t>
      </w:r>
    </w:p>
    <w:p>
      <w:pPr>
        <w:pStyle w:val="BodyText"/>
        <w:rPr/>
      </w:pPr>
      <w:r>
        <w:rPr/>
        <w:t>Администратор платформы – сотрудник, обеспечивающий техническую поддержку, верификацию пользователей и разрешение спорных ситуаций.</w:t>
      </w:r>
    </w:p>
    <w:p>
      <w:pPr>
        <w:pStyle w:val="BodyText"/>
        <w:rPr/>
      </w:pPr>
      <w:r>
        <w:rPr/>
        <w:t>Важное ограничение: автоматизации подлежит исключительно формат индивидуальных занятий «один на один». Система технически не поддерживает проведение групповых уроков или вебинаров с количеством участников более двух.</w:t>
      </w:r>
    </w:p>
    <w:p>
      <w:pPr>
        <w:pStyle w:val="BodyText"/>
        <w:rPr/>
      </w:pPr>
      <w:r>
        <w:rPr/>
        <w:t>Текущий процесс взаимодействия участников характеризуется следующими этапами:</w:t>
      </w:r>
    </w:p>
    <w:p>
      <w:pPr>
        <w:pStyle w:val="BodyText"/>
        <w:rPr/>
      </w:pPr>
      <w:r>
        <w:rPr/>
        <w:t>поиск исполнителя через знакомых, социальные сети или специализированные агрегаторы;</w:t>
      </w:r>
    </w:p>
    <w:p>
      <w:pPr>
        <w:pStyle w:val="BodyText"/>
        <w:rPr/>
      </w:pPr>
      <w:r>
        <w:rPr/>
        <w:t>согласование условий (предмет, цена, время) через мессенджеры или телефонную связь;</w:t>
      </w:r>
    </w:p>
    <w:p>
      <w:pPr>
        <w:pStyle w:val="BodyText"/>
        <w:rPr/>
      </w:pPr>
      <w:r>
        <w:rPr/>
        <w:t>организация оплаты (наличные, перевод на карту) без гарантий возврата;</w:t>
      </w:r>
    </w:p>
    <w:p>
      <w:pPr>
        <w:pStyle w:val="BodyText"/>
        <w:rPr/>
      </w:pPr>
      <w:r>
        <w:rPr/>
        <w:t>проведение занятия с использованием сторонних средств видеосвязи;</w:t>
      </w:r>
    </w:p>
    <w:p>
      <w:pPr>
        <w:pStyle w:val="BodyText"/>
        <w:rPr/>
      </w:pPr>
      <w:r>
        <w:rPr/>
        <w:t>обмен материалами и обратная связь в разрозненных каналах коммуникации.</w:t>
      </w:r>
    </w:p>
    <w:p>
      <w:pPr>
        <w:pStyle w:val="Heading2"/>
        <w:rPr/>
      </w:pPr>
      <w:bookmarkStart w:id="11" w:name="__RefHeading___Toc978_3087275504"/>
      <w:bookmarkEnd w:id="11"/>
      <w:r>
        <w:rPr/>
        <w:t>Сведения об условиях эксплуатации объекта автоматизации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Система функционирует в распределенной сетевой среде с постоянным доступом к сети Интернет. Основные условия эксплуатации представлены в таблице 1.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Таблица 1 – Условия функционирования системы</w:t>
      </w:r>
    </w:p>
    <w:tbl>
      <w:tblPr>
        <w:tblStyle w:val="a5"/>
        <w:tblW w:w="9345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Аспект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Платформы доступа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Веб-интерфейс (адаптивная вёрстка)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Сценарии доступа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Через сайт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Режим работы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Круглосуточный доступ к функционалу платформы (24/7). Пиковая нагрузка ожидается в вечерние часы (18:00–22:00) и в выходные дни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Онлайн-статус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Основная работа — онлайн; оффлайн-режим: просмотр расписания, черновики сообщений, кэширование материалов занятий</w:t>
            </w:r>
          </w:p>
        </w:tc>
      </w:tr>
    </w:tbl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Продолжение таблицы 1</w:t>
      </w:r>
    </w:p>
    <w:tbl>
      <w:tblPr>
        <w:tblStyle w:val="a5"/>
        <w:tblW w:w="9345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Аспект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Внешние интеграции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Видеосвязь (Яндекс Телемост), платежные системы (ЮKassa), календари (Яндекс.Календарь), сервисы уведомлений (SMS Aero/p1sms.ru), AI-сервисы (YandexGPT), облачное хранилище (Yandex Object Storage)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 xml:space="preserve">                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Требования к нагрузке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На этапе MVP – до 5000 одновременных пользователей; время отклика &lt; 3 секунд. Масштабируемость до 10000 пользователей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Безопасность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Все передачи данных по протоколу HTTPS, шифрование персональных данных</w:t>
            </w:r>
          </w:p>
        </w:tc>
      </w:tr>
    </w:tbl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Heading1"/>
        <w:widowControl/>
        <w:numPr>
          <w:ilvl w:val="0"/>
          <w:numId w:val="0"/>
        </w:numPr>
        <w:suppressAutoHyphens w:val="true"/>
        <w:jc w:val="both"/>
        <w:rPr/>
      </w:pPr>
      <w:r>
        <w:rPr/>
      </w:r>
      <w:r>
        <w:br w:type="page"/>
      </w:r>
    </w:p>
    <w:p>
      <w:pPr>
        <w:pStyle w:val="Heading1"/>
        <w:rPr/>
      </w:pPr>
      <w:bookmarkStart w:id="12" w:name="__RefHeading___Toc980_3087275504"/>
      <w:bookmarkEnd w:id="12"/>
      <w:r>
        <w:rPr/>
        <w:t>Требования к системе</w:t>
      </w:r>
    </w:p>
    <w:p>
      <w:pPr>
        <w:pStyle w:val="Heading2"/>
        <w:rPr/>
      </w:pPr>
      <w:bookmarkStart w:id="13" w:name="__RefHeading___Toc982_3087275504"/>
      <w:bookmarkEnd w:id="13"/>
      <w:r>
        <w:rPr/>
        <w:t>Требования к системе в целом</w:t>
      </w:r>
    </w:p>
    <w:p>
      <w:pPr>
        <w:pStyle w:val="Heading3"/>
        <w:ind w:hanging="0" w:left="1440"/>
        <w:rPr>
          <w:highlight w:val="none"/>
          <w:shd w:fill="auto" w:val="clear"/>
        </w:rPr>
      </w:pPr>
      <w:bookmarkStart w:id="14" w:name="__RefHeading___Toc1070_3087275504"/>
      <w:bookmarkEnd w:id="14"/>
      <w:r>
        <w:rPr>
          <w:shd w:fill="auto" w:val="clear"/>
        </w:rPr>
        <w:t>Требования к структуре и функционированию системы</w:t>
      </w:r>
    </w:p>
    <w:p>
      <w:pPr>
        <w:pStyle w:val="Normal"/>
        <w:numPr>
          <w:ilvl w:val="3"/>
          <w:numId w:val="27"/>
        </w:numPr>
        <w:spacing w:lineRule="auto" w:line="360"/>
        <w:rPr/>
      </w:pPr>
      <w:r>
        <w:rPr>
          <w:shd w:fill="auto" w:val="clear"/>
        </w:rPr>
        <w:t>Структура системы организована в виде взаимосвязанных разделов (модулей), обеспечивающих навигацию и выполнение целевых действий пользователями различных ролей.</w:t>
      </w:r>
    </w:p>
    <w:p>
      <w:pPr>
        <w:pStyle w:val="Normal"/>
        <w:numPr>
          <w:ilvl w:val="4"/>
          <w:numId w:val="32"/>
        </w:numPr>
        <w:spacing w:lineRule="auto" w:line="360"/>
        <w:rPr/>
      </w:pPr>
      <w:r>
        <w:rPr>
          <w:rStyle w:val="Strong"/>
          <w:b w:val="false"/>
          <w:bCs w:val="false"/>
        </w:rPr>
        <w:t>Глобальная навигация.</w:t>
      </w:r>
      <w:r>
        <w:rPr>
          <w:b w:val="false"/>
          <w:bCs w:val="false"/>
        </w:rPr>
        <w:t xml:space="preserve"> Верхняя панель интерфейса, доступная на всех страницах системы. Содержит логотип (переход на главную), индикатор уведомлений, кнопку перехода в личный кабинет и кнопку выхода.</w:t>
      </w:r>
    </w:p>
    <w:p>
      <w:pPr>
        <w:pStyle w:val="Normal"/>
        <w:numPr>
          <w:ilvl w:val="4"/>
          <w:numId w:val="32"/>
        </w:numPr>
        <w:spacing w:lineRule="auto" w:line="360"/>
        <w:rPr/>
      </w:pPr>
      <w:r>
        <w:rPr>
          <w:rStyle w:val="Strong"/>
          <w:b w:val="false"/>
          <w:bCs w:val="false"/>
        </w:rPr>
        <w:t>Главный раздел (Поиск и каталог).</w:t>
      </w:r>
      <w:r>
        <w:rPr>
          <w:b w:val="false"/>
          <w:bCs w:val="false"/>
        </w:rPr>
        <w:t xml:space="preserve"> Центральная страница системы. Включает строку поиска, фильтры (предмет, цена, рейтинг), сетку анкет репетиторов и информационные блоки о преимуществах платформы.</w:t>
      </w:r>
    </w:p>
    <w:p>
      <w:pPr>
        <w:pStyle w:val="Normal"/>
        <w:numPr>
          <w:ilvl w:val="4"/>
          <w:numId w:val="32"/>
        </w:numPr>
        <w:spacing w:lineRule="auto" w:line="360" w:before="0" w:after="283"/>
        <w:rPr/>
      </w:pPr>
      <w:r>
        <w:rPr>
          <w:rStyle w:val="Strong"/>
          <w:b w:val="false"/>
          <w:bCs w:val="false"/>
        </w:rPr>
        <w:t>Личный кабинет (Профиль).</w:t>
      </w:r>
      <w:r>
        <w:rPr>
          <w:b w:val="false"/>
          <w:bCs w:val="false"/>
        </w:rPr>
        <w:t xml:space="preserve"> Персональный раздел пользователя, содержимое которого зависит от роли:</w:t>
      </w:r>
    </w:p>
    <w:p>
      <w:pPr>
        <w:pStyle w:val="Normal"/>
        <w:numPr>
          <w:ilvl w:val="5"/>
          <w:numId w:val="33"/>
        </w:numPr>
        <w:spacing w:before="0" w:after="283"/>
        <w:rPr/>
      </w:pPr>
      <w:r>
        <w:rPr>
          <w:rStyle w:val="Strong"/>
          <w:b w:val="false"/>
          <w:bCs w:val="false"/>
        </w:rPr>
        <w:t>Для Ученика/Родителя:</w:t>
      </w:r>
      <w:r>
        <w:rPr>
          <w:b w:val="false"/>
          <w:bCs w:val="false"/>
        </w:rPr>
        <w:t xml:space="preserve"> редактирование личных данных, привязка детей, история занятий, настройки уведомлений.</w:t>
      </w:r>
    </w:p>
    <w:p>
      <w:pPr>
        <w:pStyle w:val="Normal"/>
        <w:numPr>
          <w:ilvl w:val="5"/>
          <w:numId w:val="33"/>
        </w:numPr>
        <w:spacing w:before="0" w:after="283"/>
        <w:rPr/>
      </w:pPr>
      <w:r>
        <w:rPr>
          <w:rStyle w:val="Strong"/>
          <w:b w:val="false"/>
          <w:bCs w:val="false"/>
        </w:rPr>
        <w:t>Для Репетитора:</w:t>
      </w:r>
      <w:r>
        <w:rPr>
          <w:b w:val="false"/>
          <w:bCs w:val="false"/>
        </w:rPr>
        <w:t xml:space="preserve"> расширенная анкета (образование, опыт), загрузка документов верификации, управление видимостью профиля.</w:t>
      </w:r>
    </w:p>
    <w:p>
      <w:pPr>
        <w:pStyle w:val="BodyText"/>
        <w:numPr>
          <w:ilvl w:val="4"/>
          <w:numId w:val="32"/>
        </w:numPr>
        <w:spacing w:before="0" w:after="0"/>
        <w:ind w:hanging="0"/>
        <w:rPr/>
      </w:pPr>
      <w:r>
        <w:rPr>
          <w:rStyle w:val="Strong"/>
          <w:b w:val="false"/>
          <w:bCs w:val="false"/>
        </w:rPr>
        <w:t>Раздел «Расписание».</w:t>
      </w:r>
      <w:r>
        <w:rPr>
          <w:b w:val="false"/>
          <w:bCs w:val="false"/>
        </w:rPr>
        <w:t xml:space="preserve"> Модуль управления временем. Для репетитора представляет собой календарь с возможностью создания сетки доступных слотов. Для ученика — календарь с отображением забронированных занятий и доступных окон репетиторов. Интегрирован с внешними календарями.</w:t>
      </w:r>
    </w:p>
    <w:p>
      <w:pPr>
        <w:pStyle w:val="BodyText"/>
        <w:numPr>
          <w:ilvl w:val="4"/>
          <w:numId w:val="32"/>
        </w:numPr>
        <w:spacing w:before="0" w:after="0"/>
        <w:ind w:hanging="0"/>
        <w:rPr/>
      </w:pPr>
      <w:r>
        <w:rPr>
          <w:rStyle w:val="Strong"/>
          <w:b w:val="false"/>
          <w:bCs w:val="false"/>
        </w:rPr>
        <w:t>Раздел «Занятия».</w:t>
      </w:r>
      <w:r>
        <w:rPr>
          <w:b w:val="false"/>
          <w:bCs w:val="false"/>
        </w:rPr>
        <w:t xml:space="preserve"> Рабочее пространство для проведения уроков. Включает окно видеосвязи (интеграция с Яндекс Телемост), интерактивную доску, чат для обмена сообщениями и файлами, кнопку записи сессии. Доступ активируется за 5 минут до начала занятия.</w:t>
      </w:r>
    </w:p>
    <w:p>
      <w:pPr>
        <w:pStyle w:val="BodyText"/>
        <w:numPr>
          <w:ilvl w:val="4"/>
          <w:numId w:val="32"/>
        </w:numPr>
        <w:spacing w:before="0" w:after="0"/>
        <w:ind w:hanging="0"/>
        <w:rPr/>
      </w:pPr>
      <w:r>
        <w:rPr>
          <w:rStyle w:val="Strong"/>
          <w:b w:val="false"/>
          <w:bCs w:val="false"/>
        </w:rPr>
        <w:t>Раздел «Финансы».</w:t>
      </w:r>
      <w:r>
        <w:rPr>
          <w:b w:val="false"/>
          <w:bCs w:val="false"/>
        </w:rPr>
        <w:t xml:space="preserve"> Модуль управления платежами. Отображает баланс счета, историю транзакций, статус эскроу-оплат. Для репетитора включает вывод средств, для ученика — пополнение баланса и оплату пакетов занятий.</w:t>
      </w:r>
    </w:p>
    <w:p>
      <w:pPr>
        <w:pStyle w:val="BodyText"/>
        <w:numPr>
          <w:ilvl w:val="4"/>
          <w:numId w:val="32"/>
        </w:numPr>
        <w:spacing w:before="0" w:after="0"/>
        <w:ind w:hanging="0"/>
        <w:rPr/>
      </w:pPr>
      <w:r>
        <w:rPr>
          <w:rStyle w:val="Strong"/>
          <w:b w:val="false"/>
          <w:bCs w:val="false"/>
        </w:rPr>
        <w:t>Раздел «Поддержка и помощь».</w:t>
      </w:r>
      <w:r>
        <w:rPr>
          <w:b w:val="false"/>
          <w:bCs w:val="false"/>
        </w:rPr>
        <w:t xml:space="preserve"> Страница с базой знаний (FAQ), формой обратной связи и контактами службы поддержки. Доступна для всех категорий пользователей.</w:t>
      </w:r>
    </w:p>
    <w:p>
      <w:pPr>
        <w:pStyle w:val="Heading3"/>
        <w:ind w:hanging="0" w:left="1440"/>
        <w:rPr/>
      </w:pPr>
      <w:bookmarkStart w:id="15" w:name="__RefHeading___Toc1072_3087275504"/>
      <w:bookmarkEnd w:id="15"/>
      <w:r>
        <w:rPr/>
        <w:t>Требования к численности и квалификации персонала</w:t>
      </w:r>
    </w:p>
    <w:p>
      <w:pPr>
        <w:pStyle w:val="Normal"/>
        <w:numPr>
          <w:ilvl w:val="3"/>
          <w:numId w:val="28"/>
        </w:numPr>
        <w:spacing w:lineRule="auto" w:line="360"/>
        <w:rPr/>
      </w:pPr>
      <w:r>
        <w:rPr/>
        <w:t>Для эксплуатации и сопровождения АС предусматривается следующий персонал:</w:t>
      </w:r>
    </w:p>
    <w:p>
      <w:pPr>
        <w:pStyle w:val="BodyText"/>
        <w:numPr>
          <w:ilvl w:val="4"/>
          <w:numId w:val="29"/>
        </w:numPr>
        <w:rPr/>
      </w:pPr>
      <w:r>
        <w:rPr>
          <w:rStyle w:val="Strong"/>
          <w:b w:val="false"/>
          <w:bCs w:val="false"/>
        </w:rPr>
        <w:t>Администратор системы.</w:t>
      </w:r>
      <w:r>
        <w:rPr>
          <w:b w:val="false"/>
          <w:bCs w:val="false"/>
        </w:rPr>
        <w:t xml:space="preserve"> Специалист, отвечающий за техническое сопровождение платформы. В обязанности входит: управление учётными записями пользователей (блокировка, верификация профилей), модерация контента (отзывы, материалы), мониторинг доступности системы, обработка инцидентов, формирование отчётов по активности. Требуемая квалификация: техническое образование, опыт работы с веб-системами не менее 1 года. </w:t>
      </w:r>
    </w:p>
    <w:p>
      <w:pPr>
        <w:pStyle w:val="Normal"/>
        <w:numPr>
          <w:ilvl w:val="3"/>
          <w:numId w:val="28"/>
        </w:numPr>
        <w:spacing w:lineRule="auto" w:line="360"/>
        <w:rPr/>
      </w:pPr>
      <w:r>
        <w:rPr/>
        <w:t>Требования к численности персонала: одновременная нагрузка — до 50 пользователей.</w:t>
      </w:r>
    </w:p>
    <w:p>
      <w:pPr>
        <w:pStyle w:val="Normal"/>
        <w:numPr>
          <w:ilvl w:val="3"/>
          <w:numId w:val="28"/>
        </w:numPr>
        <w:spacing w:lineRule="auto" w:line="360"/>
        <w:rPr/>
      </w:pPr>
      <w:r>
        <w:rPr/>
        <w:t>Квалификация пользователя:</w:t>
      </w:r>
    </w:p>
    <w:p>
      <w:pPr>
        <w:pStyle w:val="Normal"/>
        <w:numPr>
          <w:ilvl w:val="3"/>
          <w:numId w:val="28"/>
        </w:numPr>
        <w:spacing w:lineRule="auto" w:line="360"/>
        <w:rPr/>
      </w:pPr>
      <w:r>
        <w:rPr/>
        <w:t>Пользователь должен владеть навыками работы с операционной системой  и веб-браузером. Специальной технической подготовки не требуется.</w:t>
      </w:r>
    </w:p>
    <w:p>
      <w:pPr>
        <w:pStyle w:val="Heading3"/>
        <w:ind w:hanging="0" w:left="1440"/>
        <w:rPr/>
      </w:pPr>
      <w:bookmarkStart w:id="16" w:name="__RefHeading___Toc1010_3087275504"/>
      <w:bookmarkEnd w:id="16"/>
      <w:r>
        <w:rPr/>
        <w:t>Требования к надежности</w:t>
      </w:r>
    </w:p>
    <w:p>
      <w:pPr>
        <w:pStyle w:val="Normal"/>
        <w:numPr>
          <w:ilvl w:val="4"/>
          <w:numId w:val="3"/>
        </w:numPr>
        <w:spacing w:lineRule="auto" w:line="360"/>
        <w:rPr/>
      </w:pPr>
      <w:r>
        <w:rPr/>
        <w:t>Доступность системы: не менее 99,5% времени;</w:t>
      </w:r>
    </w:p>
    <w:p>
      <w:pPr>
        <w:pStyle w:val="Normal"/>
        <w:numPr>
          <w:ilvl w:val="4"/>
          <w:numId w:val="3"/>
        </w:numPr>
        <w:spacing w:lineRule="auto" w:line="360"/>
        <w:rPr/>
      </w:pPr>
      <w:r>
        <w:rPr/>
        <w:t>Время восстановления после сбоя: не более 1 часа.</w:t>
      </w:r>
    </w:p>
    <w:p>
      <w:pPr>
        <w:pStyle w:val="Heading3"/>
        <w:ind w:hanging="0" w:left="1440"/>
        <w:rPr/>
      </w:pPr>
      <w:bookmarkStart w:id="17" w:name="__RefHeading___Toc1012_3087275504"/>
      <w:bookmarkEnd w:id="17"/>
      <w:r>
        <w:rPr/>
        <w:t>Требования к эргономике и технической эстетике</w:t>
      </w:r>
    </w:p>
    <w:p>
      <w:pPr>
        <w:pStyle w:val="Normal"/>
        <w:spacing w:lineRule="auto" w:line="360"/>
        <w:ind w:hanging="0" w:left="1440"/>
        <w:rPr>
          <w:highlight w:val="none"/>
          <w:shd w:fill="auto" w:val="clear"/>
        </w:rPr>
      </w:pPr>
      <w:r>
        <w:rPr>
          <w:shd w:fill="auto" w:val="clear"/>
        </w:rPr>
        <w:t>Интерфейс системы должен обеспечивать удобное и интуитивно понятное взаимодействие пользователя с системой. Основные требования к интерфейсу представлены ниже:</w:t>
      </w:r>
    </w:p>
    <w:p>
      <w:pPr>
        <w:pStyle w:val="Normal"/>
        <w:numPr>
          <w:ilvl w:val="4"/>
          <w:numId w:val="35"/>
        </w:numPr>
        <w:spacing w:lineRule="auto" w:line="360" w:before="0" w:after="283"/>
        <w:rPr/>
      </w:pPr>
      <w:r>
        <w:rPr>
          <w:rStyle w:val="Strong"/>
          <w:b w:val="false"/>
          <w:bCs w:val="false"/>
        </w:rPr>
        <w:t>Структура главного экрана.</w:t>
      </w:r>
      <w:r>
        <w:rPr>
          <w:b w:val="false"/>
          <w:bCs w:val="false"/>
        </w:rPr>
        <w:t xml:space="preserve"> Верхняя часть экрана (шапка) должна быть зафиксирована и содержать следующие элементы навигации, расположенные слева направо:</w:t>
      </w:r>
    </w:p>
    <w:p>
      <w:pPr>
        <w:pStyle w:val="Normal"/>
        <w:numPr>
          <w:ilvl w:val="5"/>
          <w:numId w:val="30"/>
        </w:numPr>
        <w:spacing w:lineRule="auto" w:line="360" w:before="0" w:after="283"/>
        <w:rPr/>
      </w:pPr>
      <w:r>
        <w:rPr>
          <w:rStyle w:val="Strong"/>
          <w:b w:val="false"/>
          <w:bCs w:val="false"/>
        </w:rPr>
        <w:t>Логотип системы</w:t>
      </w:r>
      <w:r>
        <w:rPr>
          <w:b w:val="false"/>
          <w:bCs w:val="false"/>
        </w:rPr>
        <w:t xml:space="preserve"> — при нажатии осуществляется переход на главную страницу;</w:t>
      </w:r>
    </w:p>
    <w:p>
      <w:pPr>
        <w:pStyle w:val="Normal"/>
        <w:numPr>
          <w:ilvl w:val="5"/>
          <w:numId w:val="30"/>
        </w:numPr>
        <w:spacing w:lineRule="auto" w:line="360" w:before="0" w:after="283"/>
        <w:rPr/>
      </w:pPr>
      <w:r>
        <w:rPr>
          <w:rStyle w:val="Strong"/>
          <w:b w:val="false"/>
          <w:bCs w:val="false"/>
        </w:rPr>
        <w:t>Кнопка «Личный кабинет»</w:t>
      </w:r>
      <w:r>
        <w:rPr>
          <w:b w:val="false"/>
          <w:bCs w:val="false"/>
        </w:rPr>
        <w:t xml:space="preserve"> — переход к профилю пользователя с отображением аватара и имени;</w:t>
      </w:r>
    </w:p>
    <w:p>
      <w:pPr>
        <w:pStyle w:val="Normal"/>
        <w:numPr>
          <w:ilvl w:val="5"/>
          <w:numId w:val="30"/>
        </w:numPr>
        <w:spacing w:lineRule="auto" w:line="360" w:before="0" w:after="283"/>
        <w:rPr/>
      </w:pPr>
      <w:r>
        <w:rPr>
          <w:rStyle w:val="Strong"/>
          <w:b w:val="false"/>
          <w:bCs w:val="false"/>
        </w:rPr>
        <w:t>Кнопка «Уведомления»</w:t>
      </w:r>
      <w:r>
        <w:rPr>
          <w:b w:val="false"/>
          <w:bCs w:val="false"/>
        </w:rPr>
        <w:t xml:space="preserve"> — отображение количества новых уведомлений в виде счётчика, при нажатии открывается панель с историей событий;</w:t>
      </w:r>
    </w:p>
    <w:p>
      <w:pPr>
        <w:pStyle w:val="Normal"/>
        <w:numPr>
          <w:ilvl w:val="5"/>
          <w:numId w:val="30"/>
        </w:numPr>
        <w:spacing w:lineRule="auto" w:line="360" w:before="0" w:after="283"/>
        <w:rPr/>
      </w:pPr>
      <w:r>
        <w:rPr>
          <w:rStyle w:val="Strong"/>
          <w:b w:val="false"/>
          <w:bCs w:val="false"/>
        </w:rPr>
        <w:t>Кнопка «Выход»</w:t>
      </w:r>
      <w:r>
        <w:rPr>
          <w:b w:val="false"/>
          <w:bCs w:val="false"/>
        </w:rPr>
        <w:t xml:space="preserve"> — завершение сеанса пользователя.</w:t>
      </w:r>
    </w:p>
    <w:p>
      <w:pPr>
        <w:pStyle w:val="BodyText"/>
        <w:numPr>
          <w:ilvl w:val="3"/>
          <w:numId w:val="35"/>
        </w:numPr>
        <w:spacing w:lineRule="auto" w:line="360"/>
        <w:ind w:hanging="0"/>
        <w:rPr/>
      </w:pPr>
      <w:r>
        <w:rPr>
          <w:rStyle w:val="Strong"/>
          <w:b w:val="false"/>
          <w:bCs w:val="false"/>
        </w:rPr>
        <w:t>Боковая панель навигации.</w:t>
      </w:r>
      <w:r>
        <w:rPr>
          <w:b w:val="false"/>
          <w:bCs w:val="false"/>
        </w:rPr>
        <w:t xml:space="preserve"> Левая часть экрана должна содержать вертикальное меню с основными разделами системы, адаптированное под роль пользователя:</w:t>
      </w:r>
    </w:p>
    <w:p>
      <w:pPr>
        <w:pStyle w:val="BodyText"/>
        <w:numPr>
          <w:ilvl w:val="4"/>
          <w:numId w:val="31"/>
        </w:numPr>
        <w:spacing w:lineRule="auto" w:line="360"/>
        <w:ind w:hanging="0"/>
        <w:rPr/>
      </w:pPr>
      <w:r>
        <w:rPr>
          <w:b w:val="false"/>
          <w:bCs w:val="false"/>
        </w:rPr>
        <w:t xml:space="preserve">Для </w:t>
      </w:r>
      <w:r>
        <w:rPr>
          <w:rStyle w:val="Strong"/>
          <w:b w:val="false"/>
          <w:bCs w:val="false"/>
        </w:rPr>
        <w:t>Ученика/Родителя</w:t>
      </w:r>
      <w:r>
        <w:rPr>
          <w:b w:val="false"/>
          <w:bCs w:val="false"/>
        </w:rPr>
        <w:t>: «Поиск репетиторов», «</w:t>
      </w:r>
      <w:r>
        <w:rPr>
          <w:b w:val="false"/>
          <w:bCs w:val="false"/>
        </w:rPr>
        <w:t>Расписание</w:t>
      </w:r>
      <w:r>
        <w:rPr>
          <w:b w:val="false"/>
          <w:bCs w:val="false"/>
        </w:rPr>
        <w:t>», «Домашние задания», «</w:t>
      </w:r>
      <w:r>
        <w:rPr>
          <w:b w:val="false"/>
          <w:bCs w:val="false"/>
        </w:rPr>
        <w:t>Поддержка и помощь</w:t>
      </w:r>
      <w:r>
        <w:rPr>
          <w:b w:val="false"/>
          <w:bCs w:val="false"/>
        </w:rPr>
        <w:t>», «</w:t>
      </w:r>
      <w:r>
        <w:rPr>
          <w:b w:val="false"/>
          <w:bCs w:val="false"/>
        </w:rPr>
        <w:t>Финансы</w:t>
      </w:r>
      <w:r>
        <w:rPr>
          <w:b w:val="false"/>
          <w:bCs w:val="false"/>
        </w:rPr>
        <w:t>»;</w:t>
      </w:r>
    </w:p>
    <w:p>
      <w:pPr>
        <w:pStyle w:val="BodyText"/>
        <w:numPr>
          <w:ilvl w:val="4"/>
          <w:numId w:val="31"/>
        </w:numPr>
        <w:spacing w:lineRule="auto" w:line="360"/>
        <w:ind w:hanging="0"/>
        <w:rPr/>
      </w:pPr>
      <w:r>
        <w:rPr>
          <w:b w:val="false"/>
          <w:bCs w:val="false"/>
        </w:rPr>
        <w:t xml:space="preserve">Для </w:t>
      </w:r>
      <w:r>
        <w:rPr>
          <w:rStyle w:val="Strong"/>
          <w:b w:val="false"/>
          <w:bCs w:val="false"/>
        </w:rPr>
        <w:t>Репетитора</w:t>
      </w:r>
      <w:r>
        <w:rPr>
          <w:b w:val="false"/>
          <w:bCs w:val="false"/>
        </w:rPr>
        <w:t>: «Расписание», «Ученики», «</w:t>
      </w:r>
      <w:r>
        <w:rPr>
          <w:b w:val="false"/>
          <w:bCs w:val="false"/>
        </w:rPr>
        <w:t>Финансы</w:t>
      </w:r>
      <w:r>
        <w:rPr>
          <w:b w:val="false"/>
          <w:bCs w:val="false"/>
        </w:rPr>
        <w:t>», «Материалы», «</w:t>
      </w:r>
      <w:r>
        <w:rPr>
          <w:b w:val="false"/>
          <w:bCs w:val="false"/>
        </w:rPr>
        <w:t>Поддержка и помощь</w:t>
      </w:r>
      <w:r>
        <w:rPr>
          <w:b w:val="false"/>
          <w:bCs w:val="false"/>
        </w:rPr>
        <w:t>».</w:t>
      </w:r>
    </w:p>
    <w:p>
      <w:pPr>
        <w:pStyle w:val="BodyText"/>
        <w:numPr>
          <w:ilvl w:val="3"/>
          <w:numId w:val="35"/>
        </w:numPr>
        <w:spacing w:lineRule="auto" w:line="360"/>
        <w:ind w:hanging="0"/>
        <w:rPr/>
      </w:pPr>
      <w:r>
        <w:rPr>
          <w:rStyle w:val="Strong"/>
          <w:b w:val="false"/>
          <w:bCs w:val="false"/>
        </w:rPr>
        <w:t>Требования к визульному оформлению.</w:t>
      </w:r>
    </w:p>
    <w:p>
      <w:pPr>
        <w:pStyle w:val="BodyText"/>
        <w:numPr>
          <w:ilvl w:val="2"/>
          <w:numId w:val="34"/>
        </w:numPr>
        <w:tabs>
          <w:tab w:val="clear" w:pos="643"/>
          <w:tab w:val="left" w:pos="0" w:leader="none"/>
        </w:tabs>
        <w:spacing w:before="0" w:after="0"/>
        <w:ind w:firstLine="426" w:left="2127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Цветовая схема должна быть выдержана в светлых тонах с акцентными цветами для кнопок действий (зелёный — подтверждение, красный — отмена/удаление, синий — основные действия);</w:t>
      </w:r>
    </w:p>
    <w:p>
      <w:pPr>
        <w:pStyle w:val="BodyText"/>
        <w:numPr>
          <w:ilvl w:val="2"/>
          <w:numId w:val="34"/>
        </w:numPr>
        <w:tabs>
          <w:tab w:val="clear" w:pos="643"/>
          <w:tab w:val="left" w:pos="0" w:leader="none"/>
        </w:tabs>
        <w:ind w:firstLine="426" w:left="2127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Размер основного шрифта — не менее 14 пт для обеспечения читаемости;</w:t>
      </w:r>
    </w:p>
    <w:p>
      <w:pPr>
        <w:pStyle w:val="BodyText"/>
        <w:numPr>
          <w:ilvl w:val="2"/>
          <w:numId w:val="34"/>
        </w:numPr>
        <w:tabs>
          <w:tab w:val="clear" w:pos="643"/>
          <w:tab w:val="left" w:pos="0" w:leader="none"/>
        </w:tabs>
        <w:ind w:firstLine="426" w:left="2127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Все интерактивные элементы (кнопки, ссылки) должны иметь визуальную индикацию при наведении курсора. </w:t>
      </w:r>
    </w:p>
    <w:p>
      <w:pPr>
        <w:pStyle w:val="Heading3"/>
        <w:ind w:hanging="0" w:left="1440"/>
        <w:rPr/>
      </w:pPr>
      <w:bookmarkStart w:id="18" w:name="__RefHeading___Toc1014_3087275504"/>
      <w:bookmarkEnd w:id="18"/>
      <w:r>
        <w:rPr/>
        <w:t>Требования к безопасности</w:t>
      </w:r>
    </w:p>
    <w:p>
      <w:pPr>
        <w:pStyle w:val="Normal"/>
        <w:numPr>
          <w:ilvl w:val="4"/>
          <w:numId w:val="4"/>
        </w:numPr>
        <w:spacing w:lineRule="auto" w:line="360"/>
        <w:rPr/>
      </w:pPr>
      <w:r>
        <w:rPr/>
        <w:t>Защита информации: Протокол HTTPS, шифрование персональных данных.</w:t>
      </w:r>
    </w:p>
    <w:p>
      <w:pPr>
        <w:pStyle w:val="Heading3"/>
        <w:ind w:hanging="0" w:left="1440"/>
        <w:rPr/>
      </w:pPr>
      <w:bookmarkStart w:id="19" w:name="__RefHeading___Toc1016_3087275504"/>
      <w:bookmarkEnd w:id="19"/>
      <w:r>
        <w:rPr/>
        <w:t>Требования к эксплуатации, техническому обслуживанию, ремонту</w:t>
      </w:r>
    </w:p>
    <w:p>
      <w:pPr>
        <w:pStyle w:val="Normal"/>
        <w:numPr>
          <w:ilvl w:val="4"/>
          <w:numId w:val="5"/>
        </w:numPr>
        <w:spacing w:lineRule="auto" w:line="360"/>
        <w:rPr/>
      </w:pPr>
      <w:r>
        <w:rPr/>
        <w:t>Автоматический мониторинг работоспособности серверов.</w:t>
      </w:r>
    </w:p>
    <w:p>
      <w:pPr>
        <w:pStyle w:val="Normal"/>
        <w:numPr>
          <w:ilvl w:val="4"/>
          <w:numId w:val="5"/>
        </w:numPr>
        <w:spacing w:lineRule="auto" w:line="360"/>
        <w:rPr/>
      </w:pPr>
      <w:r>
        <w:rPr/>
        <w:t>Обновление без остановки системы (по возможности)</w:t>
      </w:r>
    </w:p>
    <w:p>
      <w:pPr>
        <w:pStyle w:val="Heading3"/>
        <w:ind w:hanging="0" w:left="1440"/>
        <w:rPr>
          <w:lang w:val="ru-RU"/>
        </w:rPr>
      </w:pPr>
      <w:bookmarkStart w:id="20" w:name="__RefHeading___Toc1018_3087275504"/>
      <w:bookmarkEnd w:id="20"/>
      <w:r>
        <w:rPr/>
        <w:t>Требования к защите информации от несанкционированного доступа</w:t>
      </w:r>
    </w:p>
    <w:p>
      <w:pPr>
        <w:pStyle w:val="Normal"/>
        <w:numPr>
          <w:ilvl w:val="4"/>
          <w:numId w:val="6"/>
        </w:numPr>
        <w:spacing w:lineRule="auto" w:line="360"/>
        <w:rPr>
          <w:lang w:val="ru-RU"/>
        </w:rPr>
      </w:pPr>
      <w:r>
        <w:rPr/>
        <w:t>Разграничение прав доступа по ролям;</w:t>
      </w:r>
    </w:p>
    <w:p>
      <w:pPr>
        <w:pStyle w:val="Normal"/>
        <w:numPr>
          <w:ilvl w:val="4"/>
          <w:numId w:val="6"/>
        </w:numPr>
        <w:spacing w:lineRule="auto" w:line="360"/>
        <w:rPr/>
      </w:pPr>
      <w:r>
        <w:rPr>
          <w:sz w:val="28"/>
          <w:szCs w:val="28"/>
          <w:lang w:val="en-US"/>
        </w:rPr>
        <w:t>HTTPS-</w:t>
      </w:r>
      <w:r>
        <w:rPr>
          <w:sz w:val="28"/>
          <w:szCs w:val="28"/>
          <w:lang w:val="ru-RU"/>
        </w:rPr>
        <w:t>шифрование.</w:t>
      </w:r>
    </w:p>
    <w:p>
      <w:pPr>
        <w:pStyle w:val="Heading3"/>
        <w:ind w:hanging="0" w:left="1440"/>
        <w:rPr>
          <w:lang w:val="ru-RU"/>
        </w:rPr>
      </w:pPr>
      <w:bookmarkStart w:id="21" w:name="__RefHeading___Toc1020_3087275504"/>
      <w:bookmarkEnd w:id="21"/>
      <w:r>
        <w:rPr/>
        <w:t>Требования по стандартизации и унификации</w:t>
      </w:r>
    </w:p>
    <w:p>
      <w:pPr>
        <w:pStyle w:val="Normal"/>
        <w:numPr>
          <w:ilvl w:val="4"/>
          <w:numId w:val="7"/>
        </w:numPr>
        <w:spacing w:lineRule="auto" w:line="360"/>
        <w:rPr/>
      </w:pPr>
      <w:r>
        <w:rPr/>
        <w:t>Требования к типовым автоматизированным рабочим местам (АРМ): Стандартные веб-браузеры, компьютерные ОС.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bookmarkStart w:id="22" w:name="__RefHeading___Toc1022_3087275504"/>
      <w:bookmarkEnd w:id="22"/>
      <w:r>
        <w:rPr/>
        <w:t>Требования к функциям (задачам)</w:t>
      </w:r>
    </w:p>
    <w:p>
      <w:pPr>
        <w:pStyle w:val="Heading3"/>
        <w:ind w:hanging="0" w:left="1440"/>
        <w:rPr/>
      </w:pPr>
      <w:bookmarkStart w:id="23" w:name="__RefHeading___Toc1024_3087275504"/>
      <w:bookmarkEnd w:id="23"/>
      <w:r>
        <w:rPr/>
        <w:t>Перечень функций с описанием входной и выходной информации</w:t>
      </w:r>
    </w:p>
    <w:p>
      <w:pPr>
        <w:pStyle w:val="BodyText"/>
        <w:widowControl/>
        <w:tabs>
          <w:tab w:val="clear" w:pos="643"/>
          <w:tab w:val="left" w:pos="191" w:leader="none"/>
        </w:tabs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Система должна реализовывать функциональные возможности, сгруппированные по подсистемам. Для каждой функции определены состав входных данных и формируемых результатов.</w:t>
      </w:r>
    </w:p>
    <w:p>
      <w:pPr>
        <w:pStyle w:val="BodyText"/>
        <w:widowControl/>
        <w:tabs>
          <w:tab w:val="clear" w:pos="643"/>
          <w:tab w:val="left" w:pos="191" w:leader="none"/>
        </w:tabs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В рамках подсистемы управления пользователями система должна обеспечивать регистрацию и аутентификацию. Функция регистрации принимает на вход адрес электронной почты, номер мобильного телефона, пароль и выбранную роль пользователя, а на выходе формирует подтверждение успешной регистрации и создает профиль пользователя в системе. Функция аутентификации обрабатывает логин и пароль, возвращая токен доступа и основные данные профиля.</w:t>
      </w:r>
    </w:p>
    <w:p>
      <w:pPr>
        <w:pStyle w:val="BodyText"/>
        <w:widowControl/>
        <w:tabs>
          <w:tab w:val="clear" w:pos="643"/>
          <w:tab w:val="left" w:pos="191" w:leader="none"/>
        </w:tabs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Подсистема поиска и подбора должна предоставлять функцию поиска репетиторов. На вход функции поступают критерии поиска, включая учебный предмет, диапазон стоимости занятия, минимальный рейтинг и доступные временные слоты. Результатом выполнения функции является ранжированный список анкет репетиторов, соответствующих заданным параметрам. Функция просмотра профиля репетитора по идентификатору возвращает полную информацию о специалисте, включая образование, опыт и отзывы.</w:t>
      </w:r>
    </w:p>
    <w:p>
      <w:pPr>
        <w:pStyle w:val="BodyText"/>
        <w:widowControl/>
        <w:tabs>
          <w:tab w:val="clear" w:pos="643"/>
          <w:tab w:val="left" w:pos="191" w:leader="none"/>
        </w:tabs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Подсистема расписания и бронирования реализует функции бронирования и отмены занятий. Функция бронирования принимает идентификатор временного слота и идентификатор ученика, блокируя слот для других пользователей и формируя подтверждение бронирования со статусом оплаты. Функция отмены бронирования обрабатывает идентификатор бронирования и причину отмены, возвращая статус отмены и инициируя процедуру возврата средств.</w:t>
      </w:r>
    </w:p>
    <w:p>
      <w:pPr>
        <w:pStyle w:val="BodyText"/>
        <w:widowControl/>
        <w:tabs>
          <w:tab w:val="clear" w:pos="643"/>
          <w:tab w:val="left" w:pos="191" w:leader="none"/>
        </w:tabs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Подсистема оплаты должна обеспечивать проведение транзакций через эскроу-счет. Функция оплаты принимает платежные данные и сумму платежа, возвращая статус транзакции (заморожено, выплачено). Функция возврата средств обрабатывает идентификатор транзакции и причину возврата, формируя статус возврата и фиксируя сумму к возврату.</w:t>
      </w:r>
    </w:p>
    <w:p>
      <w:pPr>
        <w:pStyle w:val="BodyText"/>
        <w:widowControl/>
        <w:tabs>
          <w:tab w:val="clear" w:pos="643"/>
          <w:tab w:val="left" w:pos="191" w:leader="none"/>
        </w:tabs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Подсистема проведения занятий предоставляет функцию запуска видеосессии. На вход поступает ссылка на видеосессию, система обеспечивает видеопоток и доступ к интерактивной доске. Функция работы с домашними заданиями позволяет загружать файлы и описание задания, возвращая подтверждение загрузки и идентификатор задания. Функция проверки домашнего задания с использованием искусственного интеллекта обрабатывает файл с заданием и возвращает оценку, комментарий и рекомендации.</w:t>
      </w:r>
    </w:p>
    <w:p>
      <w:pPr>
        <w:pStyle w:val="BodyText"/>
        <w:widowControl/>
        <w:tabs>
          <w:tab w:val="clear" w:pos="643"/>
          <w:tab w:val="left" w:pos="191" w:leader="none"/>
        </w:tabs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Подсистема обратной связи реализует функцию оставления отзыва. Входными данными являются текст отзыва и числовая оценка, выходными — обновленный рейтинг репетитора. Подсистема уведомлений обеспечивает отправку сообщений по событиям системы (бронирование, отмена, начало занятия), формируя Push, SMS или Email-сообщение.</w:t>
      </w:r>
    </w:p>
    <w:p>
      <w:pPr>
        <w:pStyle w:val="Heading3"/>
        <w:ind w:hanging="0" w:left="1440"/>
        <w:rPr/>
      </w:pPr>
      <w:bookmarkStart w:id="24" w:name="__RefHeading___Toc1026_3087275504"/>
      <w:bookmarkEnd w:id="24"/>
      <w:r>
        <w:rPr/>
        <w:t>Временные регламенты реализации функций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>
          <w:sz w:val="28"/>
          <w:szCs w:val="28"/>
        </w:rPr>
        <w:t>Время выполнения функций системы не должно превышать установленные нормативы для обеспечения комфортной работы пользователей. Время отклика системы при выполнении поискового запроса и формировании списка репетиторов не должно превышать 3 секунд. Операция бронирования временного слота должна выполняться за время не более 2 секунд.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>
          <w:sz w:val="28"/>
          <w:szCs w:val="28"/>
        </w:rPr>
        <w:t>Обработка платежной транзакции, включая взаимодействие с внешним платежным шлюзом, должна занимать не более 10 секунд. Загрузка интерфейса видеосессии и установление соединения должны происходить в течение 5 секунд. Время проверки домашнего задания сервисом искусственного интеллекта не должно превышать 30 секунд. Отправка системных уведомлений пользователю должна осуществляться в течение 5 секунд после наступления события. Генерация отчетов по успеваемости или статистике не должна занимать более 1 минуты.</w:t>
      </w:r>
    </w:p>
    <w:p>
      <w:pPr>
        <w:pStyle w:val="Heading3"/>
        <w:ind w:hanging="0" w:left="1440"/>
        <w:rPr/>
      </w:pPr>
      <w:bookmarkStart w:id="25" w:name="__RefHeading___Toc1028_3087275504"/>
      <w:bookmarkEnd w:id="25"/>
      <w:r>
        <w:rPr/>
        <w:t>Требования к качеству реализации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Реализация функций системы должна обеспечивать заданный уровень точности и достоверности. Точность работы алгоритма поиска релевантных репетиторов должна составлять не менее 85% от общего количества запросов. Точность автоматической проверки домашних заданий с использованием искусственного интеллекта для заданий с однозначными ответами должна быть не менее 80%.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Система должна гарантировать отсутствие критических ошибок при проведении финансовых операций. Интерфейс системы должен корректно отображаться и функционировать в последних стабильных версиях браузеров Chrome, Safari, Firefox и Edge. Доставка критических уведомлений (о начале занятия, об отмене, об оплате) должна быть гарантированной, с механизмом повторной отправки при сбое канала связи.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bookmarkStart w:id="26" w:name="__RefHeading___Toc1030_3087275504"/>
      <w:bookmarkEnd w:id="26"/>
      <w:r>
        <w:rPr/>
        <w:t>Требования к видам обеспечения</w:t>
      </w:r>
    </w:p>
    <w:p>
      <w:pPr>
        <w:pStyle w:val="Heading3"/>
        <w:ind w:hanging="0" w:left="1440"/>
        <w:rPr/>
      </w:pPr>
      <w:bookmarkStart w:id="27" w:name="__RefHeading___Toc1032_3087275504"/>
      <w:bookmarkEnd w:id="27"/>
      <w:r>
        <w:rPr/>
        <w:t>Требования к информационному обеспечению</w:t>
      </w:r>
    </w:p>
    <w:p>
      <w:pPr>
        <w:pStyle w:val="BodyText"/>
        <w:numPr>
          <w:ilvl w:val="4"/>
          <w:numId w:val="8"/>
        </w:numPr>
        <w:rPr/>
      </w:pPr>
      <w:r>
        <w:rPr/>
        <w:t>Используется реляционная база данных, нормализованная до третьей нормальной формы (3NF). Данные хранятся в единой централизованной базе данных.</w:t>
      </w:r>
    </w:p>
    <w:p>
      <w:pPr>
        <w:pStyle w:val="BodyText"/>
        <w:numPr>
          <w:ilvl w:val="4"/>
          <w:numId w:val="8"/>
        </w:numPr>
        <w:rPr/>
      </w:pPr>
      <w:r>
        <w:rPr/>
        <w:t>Обмен данными между компонентами системы осуществляется через REST API с использованием формата JSON. Функции реального времени (чат, уведомления) реализуются через WebSocket.</w:t>
      </w:r>
    </w:p>
    <w:p>
      <w:pPr>
        <w:pStyle w:val="BodyText"/>
        <w:numPr>
          <w:ilvl w:val="4"/>
          <w:numId w:val="8"/>
        </w:numPr>
        <w:rPr/>
      </w:pPr>
      <w:r>
        <w:rPr/>
        <w:t>Система должна обеспечивать совместимость с API внешних сервисов следующих типов:</w:t>
      </w:r>
    </w:p>
    <w:p>
      <w:pPr>
        <w:pStyle w:val="BodyText"/>
        <w:numPr>
          <w:ilvl w:val="6"/>
          <w:numId w:val="9"/>
        </w:numPr>
        <w:rPr/>
      </w:pPr>
      <w:r>
        <w:rPr/>
        <w:t>платёжные сервисы (например, ЮKassa);</w:t>
      </w:r>
    </w:p>
    <w:p>
      <w:pPr>
        <w:pStyle w:val="BodyText"/>
        <w:numPr>
          <w:ilvl w:val="6"/>
          <w:numId w:val="9"/>
        </w:numPr>
        <w:rPr/>
      </w:pPr>
      <w:r>
        <w:rPr/>
        <w:t>видеосервисы для онлайн-встреч (например, Яндекс Телемост);</w:t>
      </w:r>
    </w:p>
    <w:p>
      <w:pPr>
        <w:pStyle w:val="BodyText"/>
        <w:numPr>
          <w:ilvl w:val="6"/>
          <w:numId w:val="9"/>
        </w:numPr>
        <w:rPr/>
      </w:pPr>
      <w:r>
        <w:rPr/>
        <w:t>календарные сервисы (CalDAV / iCal);</w:t>
      </w:r>
    </w:p>
    <w:p>
      <w:pPr>
        <w:pStyle w:val="BodyText"/>
        <w:numPr>
          <w:ilvl w:val="6"/>
          <w:numId w:val="9"/>
        </w:numPr>
        <w:rPr/>
      </w:pPr>
      <w:r>
        <w:rPr/>
        <w:t>SMS-сервисы для отправки уведомлений;</w:t>
      </w:r>
    </w:p>
    <w:p>
      <w:pPr>
        <w:pStyle w:val="BodyText"/>
        <w:numPr>
          <w:ilvl w:val="6"/>
          <w:numId w:val="9"/>
        </w:numPr>
        <w:rPr/>
      </w:pPr>
      <w:r>
        <w:rPr/>
        <w:t>облачные хранилища для хранения файлов и резервных копий.</w:t>
      </w:r>
    </w:p>
    <w:p>
      <w:pPr>
        <w:pStyle w:val="BodyText"/>
        <w:numPr>
          <w:ilvl w:val="4"/>
          <w:numId w:val="8"/>
        </w:numPr>
        <w:rPr/>
      </w:pPr>
      <w:r>
        <w:rPr/>
        <w:t>При формировании финансовых и отчётных документов могут использоваться государственные классификаторы, в частности ОКПД2 (код 85.59 «Прочие услуги в области образования»).</w:t>
      </w:r>
    </w:p>
    <w:p>
      <w:pPr>
        <w:pStyle w:val="BodyText"/>
        <w:numPr>
          <w:ilvl w:val="4"/>
          <w:numId w:val="8"/>
        </w:numPr>
        <w:rPr/>
      </w:pPr>
      <w:r>
        <w:rPr/>
        <w:t>В системе используется реляционная система управления базами данных с поддержкой ACID-транзакций и расширенных типов данных (например, JSONB). Пример допустимой СУБД – PostgreSQL.</w:t>
      </w:r>
    </w:p>
    <w:p>
      <w:pPr>
        <w:pStyle w:val="BodyText"/>
        <w:numPr>
          <w:ilvl w:val="4"/>
          <w:numId w:val="8"/>
        </w:numPr>
        <w:rPr/>
      </w:pPr>
      <w:r>
        <w:rPr/>
        <w:t>Структура процесса сбора, обработки, передачи и представления данных</w:t>
      </w:r>
    </w:p>
    <w:p>
      <w:pPr>
        <w:pStyle w:val="BodyText"/>
        <w:numPr>
          <w:ilvl w:val="6"/>
          <w:numId w:val="10"/>
        </w:numPr>
        <w:rPr/>
      </w:pPr>
      <w:r>
        <w:rPr/>
        <w:t>сбор данных осуществляется через веб- и мобильный пользовательский интерфейс;</w:t>
      </w:r>
    </w:p>
    <w:p>
      <w:pPr>
        <w:pStyle w:val="BodyText"/>
        <w:numPr>
          <w:ilvl w:val="6"/>
          <w:numId w:val="10"/>
        </w:numPr>
        <w:rPr/>
      </w:pPr>
      <w:r>
        <w:rPr/>
        <w:t>обработка данных выполняется серверной частью системы (обработка бронирований, управление эскроу-платежами, расчёт рейтингов);</w:t>
      </w:r>
    </w:p>
    <w:p>
      <w:pPr>
        <w:pStyle w:val="BodyText"/>
        <w:numPr>
          <w:ilvl w:val="6"/>
          <w:numId w:val="10"/>
        </w:numPr>
        <w:rPr/>
      </w:pPr>
      <w:r>
        <w:rPr/>
        <w:t>передача данных осуществляется по защищённому протоколу HTTPS;</w:t>
      </w:r>
    </w:p>
    <w:p>
      <w:pPr>
        <w:pStyle w:val="BodyText"/>
        <w:numPr>
          <w:ilvl w:val="6"/>
          <w:numId w:val="10"/>
        </w:numPr>
        <w:rPr/>
      </w:pPr>
      <w:r>
        <w:rPr/>
        <w:t>представление данных реализуется в виде личных кабинетов, календарей, дашбордов, отчётов и уведомлений.</w:t>
      </w:r>
    </w:p>
    <w:p>
      <w:pPr>
        <w:pStyle w:val="BodyText"/>
        <w:numPr>
          <w:ilvl w:val="4"/>
          <w:numId w:val="8"/>
        </w:numPr>
        <w:rPr/>
      </w:pPr>
      <w:r>
        <w:rPr/>
        <w:t>Для обеспечения сохранности данных применяются:</w:t>
      </w:r>
    </w:p>
    <w:p>
      <w:pPr>
        <w:pStyle w:val="BodyText"/>
        <w:numPr>
          <w:ilvl w:val="6"/>
          <w:numId w:val="11"/>
        </w:numPr>
        <w:rPr/>
      </w:pPr>
      <w:r>
        <w:rPr/>
        <w:t>регулярное резервное копирование базы данных (не реже одного раза в сутки);</w:t>
      </w:r>
    </w:p>
    <w:p>
      <w:pPr>
        <w:pStyle w:val="BodyText"/>
        <w:numPr>
          <w:ilvl w:val="6"/>
          <w:numId w:val="11"/>
        </w:numPr>
        <w:rPr/>
      </w:pPr>
      <w:r>
        <w:rPr/>
        <w:t>репликация базы данных;</w:t>
      </w:r>
    </w:p>
    <w:p>
      <w:pPr>
        <w:pStyle w:val="BodyText"/>
        <w:numPr>
          <w:ilvl w:val="6"/>
          <w:numId w:val="11"/>
        </w:numPr>
        <w:rPr/>
      </w:pPr>
      <w:r>
        <w:rPr/>
        <w:t>хранение резервных копий в облачном хранилище с географическим резервированием.</w:t>
      </w:r>
    </w:p>
    <w:p>
      <w:pPr>
        <w:pStyle w:val="BodyText"/>
        <w:numPr>
          <w:ilvl w:val="4"/>
          <w:numId w:val="8"/>
        </w:numPr>
        <w:rPr/>
      </w:pPr>
      <w:r>
        <w:rPr/>
        <w:t>Контроль целостности данных обеспечивается транзакциями СУБД и механизмами валидации на уровне приложения. Финансовые данные хранятся не менее 5 лет. Обновление данных осуществляется в режиме реального времени. Восстановление данных производится из резервных копий в течение не более 4 часов.</w:t>
      </w:r>
    </w:p>
    <w:p>
      <w:pPr>
        <w:pStyle w:val="BodyText"/>
        <w:numPr>
          <w:ilvl w:val="4"/>
          <w:numId w:val="8"/>
        </w:numPr>
        <w:rPr/>
      </w:pPr>
      <w:r>
        <w:rPr/>
        <w:t>Электронные документы (договор оферты, акты оказанных услуг и иные пользовательские соглашения) подтверждаются простой электронной подписью пользователя в соответствии с Федеральным законом №63-ФЗ «Об электронной подписи».</w:t>
      </w:r>
    </w:p>
    <w:p>
      <w:pPr>
        <w:pStyle w:val="Heading3"/>
        <w:ind w:hanging="0" w:left="1440"/>
        <w:rPr/>
      </w:pPr>
      <w:bookmarkStart w:id="28" w:name="__RefHeading___Toc1034_3087275504"/>
      <w:bookmarkEnd w:id="28"/>
      <w:r>
        <w:rPr/>
        <w:t>Требования к лингвистическому обеспечению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Основным языком интерфейса и взаимодействия пользователей с системой является русский язык.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Кодирование текстовой информации – UTF-8.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>
          <w:highlight w:val="none"/>
          <w:shd w:fill="auto" w:val="clear"/>
        </w:rPr>
      </w:pPr>
      <w:r>
        <w:rPr>
          <w:shd w:fill="auto" w:val="clear"/>
        </w:rPr>
        <w:t xml:space="preserve">Языком манипулирования данными в базе данных является </w:t>
      </w:r>
      <w:r>
        <w:rPr>
          <w:shd w:fill="auto" w:val="clear"/>
          <w:lang w:val="ru-RU"/>
        </w:rPr>
        <w:t xml:space="preserve">типа </w:t>
      </w:r>
      <w:r>
        <w:rPr>
          <w:shd w:fill="auto" w:val="clear"/>
        </w:rPr>
        <w:t xml:space="preserve">SQL, так как это удобный и распространённый способ работы с данными. 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>
          <w:highlight w:val="none"/>
          <w:shd w:fill="auto" w:val="clear"/>
        </w:rPr>
      </w:pPr>
      <w:r>
        <w:rPr>
          <w:shd w:fill="auto" w:val="clear"/>
        </w:rPr>
        <w:t xml:space="preserve">Доступ к данным на уровне прикладной логики осуществляется через ORM, что упрощает разработку и снижает количество ошибок. 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Средства описания предметной области включают:</w:t>
      </w:r>
    </w:p>
    <w:p>
      <w:pPr>
        <w:pStyle w:val="BodyText"/>
        <w:widowControl/>
        <w:numPr>
          <w:ilvl w:val="0"/>
          <w:numId w:val="19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глоссарий терминов;</w:t>
      </w:r>
    </w:p>
    <w:p>
      <w:pPr>
        <w:pStyle w:val="BodyText"/>
        <w:widowControl/>
        <w:numPr>
          <w:ilvl w:val="0"/>
          <w:numId w:val="19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ER-диаграмму структуры данных.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Способы организации диалога пользователя с системой:</w:t>
      </w:r>
    </w:p>
    <w:p>
      <w:pPr>
        <w:pStyle w:val="BodyText"/>
        <w:widowControl/>
        <w:numPr>
          <w:ilvl w:val="0"/>
          <w:numId w:val="20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веб-формы;</w:t>
      </w:r>
    </w:p>
    <w:p>
      <w:pPr>
        <w:pStyle w:val="BodyText"/>
        <w:widowControl/>
        <w:numPr>
          <w:ilvl w:val="0"/>
          <w:numId w:val="20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текстовый чат;</w:t>
      </w:r>
    </w:p>
    <w:p>
      <w:pPr>
        <w:pStyle w:val="BodyText"/>
        <w:widowControl/>
        <w:numPr>
          <w:ilvl w:val="0"/>
          <w:numId w:val="20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интерактивная доска через внешний сервис.</w:t>
      </w:r>
    </w:p>
    <w:p>
      <w:pPr>
        <w:pStyle w:val="Heading3"/>
        <w:ind w:hanging="0" w:left="1440"/>
        <w:rPr/>
      </w:pPr>
      <w:bookmarkStart w:id="29" w:name="__RefHeading___Toc1036_3087275504"/>
      <w:bookmarkEnd w:id="29"/>
      <w:r>
        <w:rPr/>
        <w:t>Требования к программному обеспечению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Перечень покупных и сторонних программных средств:</w:t>
      </w:r>
    </w:p>
    <w:p>
      <w:pPr>
        <w:pStyle w:val="BodyText"/>
        <w:widowControl/>
        <w:numPr>
          <w:ilvl w:val="0"/>
          <w:numId w:val="21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SDK платёжных сервисов (например, ЮKassa);</w:t>
      </w:r>
    </w:p>
    <w:p>
      <w:pPr>
        <w:pStyle w:val="BodyText"/>
        <w:widowControl/>
        <w:numPr>
          <w:ilvl w:val="0"/>
          <w:numId w:val="21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API видеосервисов (например, Яндекс Телемост);</w:t>
      </w:r>
    </w:p>
    <w:p>
      <w:pPr>
        <w:pStyle w:val="BodyText"/>
        <w:widowControl/>
        <w:numPr>
          <w:ilvl w:val="0"/>
          <w:numId w:val="21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API календарных сервисов (CalDAV / iCal);</w:t>
      </w:r>
    </w:p>
    <w:p>
      <w:pPr>
        <w:pStyle w:val="BodyText"/>
        <w:widowControl/>
        <w:numPr>
          <w:ilvl w:val="0"/>
          <w:numId w:val="21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SDK SMS-сервисов;</w:t>
      </w:r>
    </w:p>
    <w:p>
      <w:pPr>
        <w:pStyle w:val="BodyText"/>
        <w:widowControl/>
        <w:numPr>
          <w:ilvl w:val="0"/>
          <w:numId w:val="21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SDK облачных хранилищ.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Требования к программному обеспечению:</w:t>
      </w:r>
    </w:p>
    <w:p>
      <w:pPr>
        <w:pStyle w:val="BodyText"/>
        <w:widowControl/>
        <w:numPr>
          <w:ilvl w:val="0"/>
          <w:numId w:val="22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Система не зависит от конкретных моделей серверного оборудования и может функционировать на различных облачных платформах.</w:t>
      </w:r>
    </w:p>
    <w:p>
      <w:pPr>
        <w:pStyle w:val="BodyText"/>
        <w:widowControl/>
        <w:numPr>
          <w:ilvl w:val="0"/>
          <w:numId w:val="22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Пользовательская часть системы реализуется как кросс-платформенное решение:</w:t>
      </w:r>
    </w:p>
    <w:p>
      <w:pPr>
        <w:pStyle w:val="BodyText"/>
        <w:widowControl/>
        <w:numPr>
          <w:ilvl w:val="0"/>
          <w:numId w:val="23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веб-приложение;</w:t>
      </w:r>
    </w:p>
    <w:p>
      <w:pPr>
        <w:pStyle w:val="BodyText"/>
        <w:widowControl/>
        <w:numPr>
          <w:ilvl w:val="0"/>
          <w:numId w:val="23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мобильные приложения для iOS и Android.</w:t>
      </w:r>
    </w:p>
    <w:p>
      <w:pPr>
        <w:pStyle w:val="BodyText"/>
        <w:widowControl/>
        <w:numPr>
          <w:ilvl w:val="0"/>
          <w:numId w:val="22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Качество программного обеспечения должно соответствовать требованиям стандарта ГОСТ Р ИСО/МЭК 25010-2015 (модель качества программных систем).</w:t>
      </w:r>
    </w:p>
    <w:p>
      <w:pPr>
        <w:pStyle w:val="Heading3"/>
        <w:ind w:hanging="0" w:left="1440"/>
        <w:rPr/>
      </w:pPr>
      <w:bookmarkStart w:id="30" w:name="__RefHeading___Toc1038_3087275504"/>
      <w:bookmarkEnd w:id="30"/>
      <w:r>
        <w:rPr/>
        <w:t>Требования к техническому обеспечению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1) Допустимые виды технических средств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В качестве серверной инфраструктуры допускается использование облачных вычислительных платформ (например, Yandex Cloud, VK Cloud или аналогичных).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Пользовательский доступ к системе осуществляется через следующие устройства:</w:t>
      </w:r>
    </w:p>
    <w:p>
      <w:pPr>
        <w:pStyle w:val="BodyText"/>
        <w:widowControl/>
        <w:numPr>
          <w:ilvl w:val="0"/>
          <w:numId w:val="24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персональные компьютеры;</w:t>
      </w:r>
    </w:p>
    <w:p>
      <w:pPr>
        <w:pStyle w:val="BodyText"/>
        <w:widowControl/>
        <w:numPr>
          <w:ilvl w:val="0"/>
          <w:numId w:val="24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планшеты;</w:t>
      </w:r>
    </w:p>
    <w:p>
      <w:pPr>
        <w:pStyle w:val="BodyText"/>
        <w:widowControl/>
        <w:numPr>
          <w:ilvl w:val="0"/>
          <w:numId w:val="24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смартфоны под управлением iOS и Android.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Интеграция с внешними программно-техническими комплексами осуществляется через API сторонних сервисов.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2) Функциональные, конструктивные и эксплуатационные характеристики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Система должна обеспечивать:</w:t>
      </w:r>
    </w:p>
    <w:p>
      <w:pPr>
        <w:pStyle w:val="BodyText"/>
        <w:widowControl/>
        <w:numPr>
          <w:ilvl w:val="0"/>
          <w:numId w:val="25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адаптивный пользовательский интерфейс;</w:t>
      </w:r>
    </w:p>
    <w:p>
      <w:pPr>
        <w:pStyle w:val="BodyText"/>
        <w:widowControl/>
        <w:numPr>
          <w:ilvl w:val="0"/>
          <w:numId w:val="25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среднее время отклика пользовательских операций не более 3 секунд;</w:t>
      </w:r>
    </w:p>
    <w:p>
      <w:pPr>
        <w:pStyle w:val="BodyText"/>
        <w:widowControl/>
        <w:numPr>
          <w:ilvl w:val="0"/>
          <w:numId w:val="25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доступность сервиса не ниже 99 %;</w:t>
      </w:r>
    </w:p>
    <w:p>
      <w:pPr>
        <w:pStyle w:val="BodyText"/>
        <w:widowControl/>
        <w:numPr>
          <w:ilvl w:val="0"/>
          <w:numId w:val="25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поддержку не менее 100 одновременных пользователей на начальном этапе эксплуатации с возможностью горизонтального масштабирования инфраструктуры.</w:t>
      </w:r>
    </w:p>
    <w:p>
      <w:pPr>
        <w:pStyle w:val="Heading3"/>
        <w:ind w:hanging="0" w:left="1440"/>
        <w:rPr/>
      </w:pPr>
      <w:bookmarkStart w:id="31" w:name="__RefHeading___Toc1040_3087275504"/>
      <w:bookmarkEnd w:id="31"/>
      <w:r>
        <w:rPr/>
        <w:t>Требования к методическому обеспечению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Методическое обеспечение системы включает:</w:t>
      </w:r>
    </w:p>
    <w:p>
      <w:pPr>
        <w:pStyle w:val="BodyText"/>
        <w:widowControl/>
        <w:numPr>
          <w:ilvl w:val="0"/>
          <w:numId w:val="26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руководство пользователя;</w:t>
      </w:r>
    </w:p>
    <w:p>
      <w:pPr>
        <w:pStyle w:val="BodyText"/>
        <w:widowControl/>
        <w:numPr>
          <w:ilvl w:val="0"/>
          <w:numId w:val="26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руководство администратора;</w:t>
      </w:r>
    </w:p>
    <w:p>
      <w:pPr>
        <w:pStyle w:val="BodyText"/>
        <w:widowControl/>
        <w:numPr>
          <w:ilvl w:val="0"/>
          <w:numId w:val="26"/>
        </w:numPr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эксплуатационные инструкции.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Указанные материалы входят в состав эксплуатационной документации системы.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1417" w:right="0"/>
        <w:jc w:val="both"/>
        <w:rPr/>
      </w:pPr>
      <w:r>
        <w:rPr/>
        <w:t>Все требования к видам обеспечения соответствуют современному уровню разработки информационных систем и не ограничивают разработчика в выборе конкретных технических решений при условии соблюдения указанных функциональных и качественных характеристик.</w:t>
      </w:r>
    </w:p>
    <w:p>
      <w:pPr>
        <w:pStyle w:val="Heading1"/>
        <w:widowControl/>
        <w:numPr>
          <w:ilvl w:val="0"/>
          <w:numId w:val="0"/>
        </w:numPr>
        <w:suppressAutoHyphens w:val="true"/>
        <w:ind w:hanging="0" w:left="0"/>
        <w:jc w:val="both"/>
        <w:rPr/>
      </w:pPr>
      <w:r>
        <w:rPr/>
      </w:r>
      <w:r>
        <w:br w:type="page"/>
      </w:r>
    </w:p>
    <w:p>
      <w:pPr>
        <w:pStyle w:val="Heading1"/>
        <w:ind w:hanging="0" w:left="0"/>
        <w:rPr/>
      </w:pPr>
      <w:bookmarkStart w:id="32" w:name="__RefHeading___Toc1044_3087275504"/>
      <w:bookmarkEnd w:id="32"/>
      <w:r>
        <w:rPr/>
        <w:t>Состав и содержание работ по созданию системы</w:t>
      </w:r>
    </w:p>
    <w:p>
      <w:pPr>
        <w:pStyle w:val="Normal"/>
        <w:spacing w:lineRule="auto" w:line="360"/>
        <w:ind w:firstLine="709"/>
        <w:rPr/>
      </w:pPr>
      <w:r>
        <w:rPr/>
        <w:t>Разработка системы предполагается по календарному плану, приведенному в таблице 1.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Таблица 1 — Календарный план работ по созданию АС «Репетитор.Просто»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52"/>
        <w:gridCol w:w="2715"/>
        <w:gridCol w:w="3288"/>
      </w:tblGrid>
      <w:tr>
        <w:trPr>
          <w:trHeight w:val="1009" w:hRule="atLeast"/>
        </w:trPr>
        <w:tc>
          <w:tcPr>
            <w:tcW w:w="3352" w:type="dxa"/>
            <w:tcBorders/>
            <w:vAlign w:val="center"/>
          </w:tcPr>
          <w:p>
            <w:pPr>
              <w:pStyle w:val="Style11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Наименование стадий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Style1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Сроки выполнения работ</w:t>
            </w:r>
          </w:p>
        </w:tc>
        <w:tc>
          <w:tcPr>
            <w:tcW w:w="3288" w:type="dxa"/>
            <w:tcBorders/>
            <w:vAlign w:val="center"/>
          </w:tcPr>
          <w:p>
            <w:pPr>
              <w:pStyle w:val="Style1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работ</w:t>
            </w:r>
          </w:p>
        </w:tc>
      </w:tr>
      <w:tr>
        <w:trPr>
          <w:trHeight w:val="2960" w:hRule="atLeast"/>
        </w:trPr>
        <w:tc>
          <w:tcPr>
            <w:tcW w:w="3352" w:type="dxa"/>
            <w:tcBorders/>
            <w:vAlign w:val="center"/>
          </w:tcPr>
          <w:p>
            <w:pPr>
              <w:pStyle w:val="Style11"/>
              <w:jc w:val="left"/>
              <w:rPr/>
            </w:pPr>
            <w:r>
              <w:rPr>
                <w:sz w:val="28"/>
                <w:szCs w:val="28"/>
              </w:rPr>
              <w:t>1. Предпроектная стадия</w:t>
            </w:r>
          </w:p>
          <w:p>
            <w:pPr>
              <w:pStyle w:val="Style11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1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1.1. В</w:t>
            </w:r>
            <w:r>
              <w:rPr>
                <w:sz w:val="28"/>
                <w:szCs w:val="28"/>
                <w:shd w:fill="auto" w:val="clear"/>
              </w:rPr>
              <w:t>ыбор и анализ предметной области программной системы</w:t>
            </w:r>
          </w:p>
          <w:p>
            <w:pPr>
              <w:pStyle w:val="Style11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1"/>
              <w:jc w:val="left"/>
              <w:rPr/>
            </w:pPr>
            <w:r>
              <w:rPr>
                <w:sz w:val="28"/>
                <w:szCs w:val="28"/>
              </w:rPr>
              <w:t>1.2. Разработка и утверждение ТЗ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Style1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11.02.26 — 11.03.26</w:t>
            </w:r>
          </w:p>
        </w:tc>
        <w:tc>
          <w:tcPr>
            <w:tcW w:w="3288" w:type="dxa"/>
            <w:tcBorders/>
            <w:vAlign w:val="center"/>
          </w:tcPr>
          <w:p>
            <w:pPr>
              <w:pStyle w:val="Style1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Утвержённое ТЗ, отчёт по анализу предметной области</w:t>
            </w:r>
          </w:p>
        </w:tc>
      </w:tr>
      <w:tr>
        <w:trPr>
          <w:trHeight w:val="1636" w:hRule="atLeast"/>
        </w:trPr>
        <w:tc>
          <w:tcPr>
            <w:tcW w:w="3352" w:type="dxa"/>
            <w:tcBorders/>
            <w:vAlign w:val="center"/>
          </w:tcPr>
          <w:p>
            <w:pPr>
              <w:pStyle w:val="Style11"/>
              <w:jc w:val="left"/>
              <w:rPr/>
            </w:pPr>
            <w:r>
              <w:rPr>
                <w:sz w:val="28"/>
                <w:szCs w:val="28"/>
              </w:rPr>
              <w:t>2. Стадия разработки</w:t>
            </w:r>
          </w:p>
          <w:p>
            <w:pPr>
              <w:pStyle w:val="Style11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1"/>
              <w:jc w:val="left"/>
              <w:rPr/>
            </w:pPr>
            <w:r>
              <w:rPr>
                <w:sz w:val="28"/>
                <w:szCs w:val="28"/>
              </w:rPr>
              <w:t>2.1. Эскизное и техническое проектирование (архитектура, БД)</w:t>
            </w:r>
          </w:p>
          <w:p>
            <w:pPr>
              <w:pStyle w:val="Style11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1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2.2. Программная реализация подсистем (кодирование)</w:t>
            </w:r>
          </w:p>
          <w:p>
            <w:pPr>
              <w:pStyle w:val="Style11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1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Style1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12.03.26 — 06.05.26</w:t>
            </w:r>
          </w:p>
        </w:tc>
        <w:tc>
          <w:tcPr>
            <w:tcW w:w="3288" w:type="dxa"/>
            <w:tcBorders/>
            <w:vAlign w:val="center"/>
          </w:tcPr>
          <w:p>
            <w:pPr>
              <w:pStyle w:val="Style1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Style w:val="Strong"/>
                <w:b w:val="false"/>
                <w:bCs w:val="false"/>
                <w:sz w:val="28"/>
                <w:szCs w:val="28"/>
              </w:rPr>
              <w:t>Рабочий прототип системы, исходный код</w:t>
            </w:r>
          </w:p>
        </w:tc>
      </w:tr>
      <w:tr>
        <w:trPr>
          <w:trHeight w:val="1064" w:hRule="atLeast"/>
        </w:trPr>
        <w:tc>
          <w:tcPr>
            <w:tcW w:w="3352" w:type="dxa"/>
            <w:tcBorders/>
            <w:vAlign w:val="center"/>
          </w:tcPr>
          <w:p>
            <w:pPr>
              <w:pStyle w:val="Style11"/>
              <w:jc w:val="left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</w:t>
            </w:r>
            <w:r>
              <w:rPr>
                <w:rStyle w:val="Strong"/>
                <w:b w:val="false"/>
                <w:bCs w:val="false"/>
                <w:sz w:val="28"/>
                <w:szCs w:val="28"/>
              </w:rPr>
              <w:t>Тестирование и сдача проекта</w:t>
            </w:r>
          </w:p>
          <w:p>
            <w:pPr>
              <w:pStyle w:val="Style11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3.1. Тестирование системы и исправление ошибок</w:t>
            </w:r>
          </w:p>
          <w:p>
            <w:pPr>
              <w:pStyle w:val="Normal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3.2. Подготовка документации и защита проекта</w:t>
            </w:r>
          </w:p>
          <w:p>
            <w:pPr>
              <w:pStyle w:val="Style11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Style1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07.05.26 — 28.05.26</w:t>
            </w:r>
          </w:p>
        </w:tc>
        <w:tc>
          <w:tcPr>
            <w:tcW w:w="3288" w:type="dxa"/>
            <w:tcBorders/>
            <w:vAlign w:val="center"/>
          </w:tcPr>
          <w:p>
            <w:pPr>
              <w:pStyle w:val="Style1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Style w:val="Strong"/>
                <w:b w:val="false"/>
                <w:bCs w:val="false"/>
                <w:sz w:val="28"/>
                <w:szCs w:val="28"/>
              </w:rPr>
              <w:t>Рабочая версия системы, документация,</w:t>
            </w:r>
            <w:r>
              <w:rPr>
                <w:b w:val="false"/>
                <w:bCs w:val="false"/>
                <w:sz w:val="28"/>
                <w:szCs w:val="28"/>
              </w:rPr>
              <w:t xml:space="preserve"> защита проекта</w:t>
            </w:r>
          </w:p>
        </w:tc>
      </w:tr>
    </w:tbl>
    <w:p>
      <w:pPr>
        <w:pStyle w:val="Heading1"/>
        <w:ind w:hanging="0" w:left="0"/>
        <w:rPr/>
      </w:pPr>
      <w:bookmarkStart w:id="33" w:name="__RefHeading___Toc1046_3087275504"/>
      <w:bookmarkEnd w:id="33"/>
      <w:r>
        <w:rPr/>
        <w:t>Порядок контроля и приемки системы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Контроль и приемка системы осуществляются в соответствии с ГОСТ 34.601-90. Испытания системы проводятся в три этапа: альфа-тестирование (внутреннее тестирование разработчиками), бета-тестирование (тестирование ограниченной группой пользователей 10–15 человек) и приемо-сдаточные испытания (полная проверка системы заказчиком). Методы проведения испытаний включают функциональное тестирование всех подсистем, сценарное тестирование по пользовательским сценариям и демонстрацию функций с проверкой соответствия ТЗ. 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Приемка осуществляется поэтапно по окончании каждой стадии работ. По каждой стадии составляется акт выполненных работ. При обнаружении несоответствий составляется ведомость замечаний с указанием сроков устранения. Повторная приемка проводится после устранения всех замечаний. </w:t>
      </w:r>
    </w:p>
    <w:p>
      <w:pPr>
        <w:pStyle w:val="Heading1"/>
        <w:widowControl/>
        <w:numPr>
          <w:ilvl w:val="0"/>
          <w:numId w:val="0"/>
        </w:numPr>
        <w:suppressAutoHyphens w:val="true"/>
        <w:ind w:hanging="0" w:left="0"/>
        <w:jc w:val="both"/>
        <w:rPr/>
      </w:pPr>
      <w:r>
        <w:rPr/>
      </w:r>
      <w:r>
        <w:br w:type="page"/>
      </w:r>
    </w:p>
    <w:p>
      <w:pPr>
        <w:pStyle w:val="Heading1"/>
        <w:spacing w:before="0" w:after="120"/>
        <w:ind w:hanging="0" w:left="0"/>
        <w:rPr/>
      </w:pPr>
      <w:bookmarkStart w:id="34" w:name="__RefHeading___Toc1048_3087275504"/>
      <w:bookmarkEnd w:id="34"/>
      <w:r>
        <w:rPr/>
        <w:t>Требования к составу и содержанию работ по подготовке объекта автоматизации к вводу системы в действие.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Объект автоматизации – деятельность по организации индивидуальных образовательных занятий «один на один» между частными репетиторами и учениками (родителями). Подготовка объекта автоматизации к вводу системы в действие включает следующие основные мероприятия.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Приведение поступающей в систему информации к виду, пригодному для обработки</w:t>
      </w:r>
    </w:p>
    <w:p>
      <w:pPr>
        <w:pStyle w:val="Normal"/>
        <w:numPr>
          <w:ilvl w:val="0"/>
          <w:numId w:val="1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регистрация и верификация профилей репетиторов и учеников (загрузка документов, подтверждение образования и опыта работы);</w:t>
      </w:r>
    </w:p>
    <w:p>
      <w:pPr>
        <w:pStyle w:val="Normal"/>
        <w:numPr>
          <w:ilvl w:val="0"/>
          <w:numId w:val="1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ввод и структурирование расписаний репетиторов в виде временных слотов доступности (AvailabilitySlot);</w:t>
      </w:r>
    </w:p>
    <w:p>
      <w:pPr>
        <w:pStyle w:val="Normal"/>
        <w:numPr>
          <w:ilvl w:val="0"/>
          <w:numId w:val="12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подготовка шаблонов договоров оферты и актов оказанных услуг в электронном виде.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Исполнитель: заказчик (владелец платформы) совместно с разработчиком.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Изменения, которые необходимо осуществить в объекте автоматизации</w:t>
      </w:r>
    </w:p>
    <w:p>
      <w:pPr>
        <w:pStyle w:val="Normal"/>
        <w:numPr>
          <w:ilvl w:val="0"/>
          <w:numId w:val="13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переход от неформального поиска репетиторов к использованию специализированной платформы;</w:t>
      </w:r>
    </w:p>
    <w:p>
      <w:pPr>
        <w:pStyle w:val="Normal"/>
        <w:numPr>
          <w:ilvl w:val="0"/>
          <w:numId w:val="13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внедрение механизма эскроу-оплаты для обеспечения безопасных расчётов между пользователями;</w:t>
      </w:r>
    </w:p>
    <w:p>
      <w:pPr>
        <w:pStyle w:val="Normal"/>
        <w:numPr>
          <w:ilvl w:val="0"/>
          <w:numId w:val="13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использование встроенных средств коммуникации системы (чат и календарь) для согласования занятий.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Исполнитель: заказчик и пользователи системы (репетиторы и ученики).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Создание условий функционирования объекта автоматизации, при которых гарантируется соответствие системы требованиям ТЗ</w:t>
      </w:r>
    </w:p>
    <w:p>
      <w:pPr>
        <w:pStyle w:val="Normal"/>
        <w:numPr>
          <w:ilvl w:val="0"/>
          <w:numId w:val="14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наличие у пользователей стабильного доступа к сети Интернет;</w:t>
      </w:r>
    </w:p>
    <w:p>
      <w:pPr>
        <w:pStyle w:val="Normal"/>
        <w:numPr>
          <w:ilvl w:val="0"/>
          <w:numId w:val="14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подключение и проверка работоспособности внешних сервисов (платёжные сервисы, видеосервисы, календарные сервисы);</w:t>
      </w:r>
    </w:p>
    <w:p>
      <w:pPr>
        <w:pStyle w:val="Normal"/>
        <w:numPr>
          <w:ilvl w:val="0"/>
          <w:numId w:val="14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настройка системы уведомлений и механизмов резервного копирования данных.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Исполнитель: разработчик и заказчик.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Создание необходимых для функционирования системы подразделений и служб</w:t>
      </w:r>
    </w:p>
    <w:p>
      <w:pPr>
        <w:pStyle w:val="Normal"/>
        <w:numPr>
          <w:ilvl w:val="0"/>
          <w:numId w:val="15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организация службы технической поддержки платформы (1–2 администратора);</w:t>
      </w:r>
    </w:p>
    <w:p>
      <w:pPr>
        <w:pStyle w:val="Normal"/>
        <w:numPr>
          <w:ilvl w:val="0"/>
          <w:numId w:val="15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организация процедуры модерации и верификации профилей репетиторов.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Исполнитель: заказчик.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Сроки и порядок комплектования штатов и обучения персонала</w:t>
      </w:r>
    </w:p>
    <w:p>
      <w:pPr>
        <w:pStyle w:val="Normal"/>
        <w:numPr>
          <w:ilvl w:val="0"/>
          <w:numId w:val="18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обучение администраторов платформы – за 14 дней до ввода системы в действие;</w:t>
      </w:r>
    </w:p>
    <w:p>
      <w:pPr>
        <w:pStyle w:val="Normal"/>
        <w:numPr>
          <w:ilvl w:val="0"/>
          <w:numId w:val="18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ознакомление пользователей системы (репетиторов и учеников) с правилами работы посредством встроенных инструкций, видеоуроков и вебинаров (в течение 7 дней после регистрации);</w:t>
      </w:r>
    </w:p>
    <w:p>
      <w:pPr>
        <w:pStyle w:val="Normal"/>
        <w:numPr>
          <w:ilvl w:val="0"/>
          <w:numId w:val="18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комплектование штата технической поддержки – не позднее чем за 30 дней до запуска системы.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Исполнитель: заказчик (организация обучения) совместно с разработчиком (подготовка учебных материалов).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Все работы по подготовке объекта автоматизации выполняются в соответствии с требованиями к информационному, лингвистическому и организационному обеспечению, изложенными в разделе 4.3 настоящего технического задания.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ind w:hanging="0" w:left="0"/>
        <w:rPr/>
      </w:pPr>
      <w:bookmarkStart w:id="35" w:name="__RefHeading___Toc1050_3087275504"/>
      <w:bookmarkEnd w:id="35"/>
      <w:r>
        <w:rPr/>
        <w:t>Требования к документированию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Требования к документированию устанавливаются в соответствии с ГОСТ 34.201-89 и с учётом специфики веб- и мобильной SaaS-платформы.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 рамках проекта должны быть разработаны следующие документы:</w:t>
      </w:r>
    </w:p>
    <w:p>
      <w:pPr>
        <w:pStyle w:val="Normal"/>
        <w:bidi w:val="0"/>
        <w:spacing w:lineRule="auto" w:line="360"/>
        <w:ind w:hanging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техническое задание на создание автоматизированной системы (настоящий документ);</w:t>
        <w:tab/>
      </w:r>
    </w:p>
    <w:p>
      <w:pPr>
        <w:pStyle w:val="Normal"/>
        <w:numPr>
          <w:ilvl w:val="0"/>
          <w:numId w:val="16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руководство пользователя (для ролей: Гость, Ученик/Родитель, Репетитор);</w:t>
      </w:r>
    </w:p>
    <w:p>
      <w:pPr>
        <w:pStyle w:val="Normal"/>
        <w:numPr>
          <w:ilvl w:val="0"/>
          <w:numId w:val="16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руководство администратора системы;</w:t>
      </w:r>
    </w:p>
    <w:p>
      <w:pPr>
        <w:pStyle w:val="Normal"/>
        <w:numPr>
          <w:ilvl w:val="0"/>
          <w:numId w:val="16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инструкция по верификации репетиторов и модерации профилей;</w:t>
      </w:r>
    </w:p>
    <w:p>
      <w:pPr>
        <w:pStyle w:val="Normal"/>
        <w:numPr>
          <w:ilvl w:val="0"/>
          <w:numId w:val="16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эксплуатационная документация в электронном виде (онлайн-справка и help-центр системы);</w:t>
      </w:r>
    </w:p>
    <w:p>
      <w:pPr>
        <w:pStyle w:val="Normal"/>
        <w:numPr>
          <w:ilvl w:val="0"/>
          <w:numId w:val="16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программа и методика испытаний системы;</w:t>
      </w:r>
    </w:p>
    <w:p>
      <w:pPr>
        <w:pStyle w:val="Normal"/>
        <w:numPr>
          <w:ilvl w:val="0"/>
          <w:numId w:val="16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формуляр системы;</w:t>
      </w:r>
    </w:p>
    <w:p>
      <w:pPr>
        <w:pStyle w:val="Normal"/>
        <w:numPr>
          <w:ilvl w:val="0"/>
          <w:numId w:val="16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акт приёмки системы в эксплуатацию.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Документы выпускаются в электронном виде (PDF и веб-версия). 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Документация на используемые внешние сервисы (платёжные сервисы, видеосервисы, облачные хранилища и др.) предоставляется в соответствии с документацией поставщиков соответствующих сервисов. Дополнительные требования к составу и содержанию таких документов не предъявляются.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Дополнительные требования</w:t>
      </w:r>
    </w:p>
    <w:p>
      <w:pPr>
        <w:pStyle w:val="Normal"/>
        <w:numPr>
          <w:ilvl w:val="0"/>
          <w:numId w:val="17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все пользовательские документы должны быть доступны через встроенную справочную систему и личный кабинет пользователя;</w:t>
      </w:r>
    </w:p>
    <w:p>
      <w:pPr>
        <w:pStyle w:val="Normal"/>
        <w:numPr>
          <w:ilvl w:val="0"/>
          <w:numId w:val="17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объём и содержание эксплуатационной документации должны обеспечивать возможность самостоятельного освоения системы пользователями без участия разработчика;</w:t>
      </w:r>
    </w:p>
    <w:p>
      <w:pPr>
        <w:pStyle w:val="Normal"/>
        <w:numPr>
          <w:ilvl w:val="0"/>
          <w:numId w:val="17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документация оформляется на русском языке с использованием терминологии, приведённой в глоссарии системы.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ind w:hanging="0" w:left="0"/>
        <w:rPr/>
      </w:pPr>
      <w:bookmarkStart w:id="36" w:name="__RefHeading___Toc1052_3087275504"/>
      <w:bookmarkEnd w:id="36"/>
      <w:r>
        <w:rPr/>
        <w:t>Источники разработки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 xml:space="preserve"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 xml:space="preserve">ГОСТ 34.601-90. Информационная технология. Комплекс стандартов на автоматизированные системы. Автоматизированные системы. Стадии создания. 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 xml:space="preserve">ГОСТ 2.105-95. ЕСКД. Общие требования к текстовым документам. 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Отчет по лабораторной работе №1 «Выбор и анализ предметной области программной системы».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ГОСТ Р ИСО/МЭК 25010–2015.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 – М. : Стандартинформ, 2015.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Об электронной подписи : федер. закон Рос. Федерации от 06.04.2011 № 63-ФЗ // Собрание законодательства РФ. – 2011. – № 15. – Ст. 2036.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О персональных данных : федер. закон Рос. Федерации от 27.07.2006 № 152-ФЗ // Собрание законодательства РФ. – 2006. – № 31 (ч. 1). – Ст. 3451.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Об информации, информационных технологиях и о защите информации : федер. закон Рос. Федерации от 27.07.2006 № 149-ФЗ // Собрание законодательства РФ. – 2006. – № 31 (ч. 1). – Ст. 3448.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Fielding R. Architectural Styles and the Design of Network-based Software Architectures : doctoral dissertation. – Irvine : University of California, 2000.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The WebSocket Protocol : RFC 6455 [Электронный ресурс]. – Режим доступа: https://datatracker.ietf.org/doc/html/rfc6455 (дата обращения: 11.03.2026).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Calendaring Extensions to WebDAV (CalDAV) : RFC 4791 [Электронный ресурс]. – Режим доступа: https://datatracker.ietf.org/doc/html/rfc4791 (дата обращения: 11.03.2026).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PostgreSQL Documentation [Электронный ресурс]. – Режим доступа: https://www.postgresql.org/docs/ (дата обращения: 11.03.2026).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sz w:val="28"/>
          <w:szCs w:val="28"/>
        </w:rPr>
        <w:t>ЮKassa. Документация для разработчиков [Электронный ресурс]. – Режим доступа: https://yookassa.ru/developers (дата обращения: 11.03.2026).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Yandex Cloud. Документация облачной платформы [Электронный ресурс]. – Режим доступа: https://cloud.yandex.ru/docs (дата обращения: 11.03.2026).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tbl>
      <w:tblPr>
        <w:tblW w:w="938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4"/>
        <w:gridCol w:w="1936"/>
        <w:gridCol w:w="2031"/>
        <w:gridCol w:w="1754"/>
        <w:gridCol w:w="1605"/>
      </w:tblGrid>
      <w:tr>
        <w:trPr/>
        <w:tc>
          <w:tcPr>
            <w:tcW w:w="9380" w:type="dxa"/>
            <w:gridSpan w:val="5"/>
            <w:tcBorders/>
          </w:tcPr>
          <w:p>
            <w:pPr>
              <w:pStyle w:val="Style11"/>
              <w:spacing w:lineRule="auto" w:line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СОСТАВИЛИ</w:t>
            </w:r>
          </w:p>
        </w:tc>
      </w:tr>
      <w:tr>
        <w:trPr>
          <w:trHeight w:val="1732" w:hRule="atLeast"/>
        </w:trPr>
        <w:tc>
          <w:tcPr>
            <w:tcW w:w="2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Style11"/>
              <w:spacing w:lineRule="auto" w:line="240"/>
              <w:jc w:val="center"/>
              <w:rPr/>
            </w:pPr>
            <w:r>
              <w:rPr>
                <w:sz w:val="28"/>
                <w:szCs w:val="28"/>
              </w:rPr>
              <w:t>Наименование организации, предприятия</w:t>
            </w: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Style11"/>
              <w:spacing w:lineRule="auto" w:line="240"/>
              <w:jc w:val="center"/>
              <w:rPr/>
            </w:pPr>
            <w:r>
              <w:rPr>
                <w:sz w:val="28"/>
                <w:szCs w:val="28"/>
              </w:rPr>
              <w:t>Должность исполнителя</w:t>
            </w:r>
          </w:p>
        </w:tc>
        <w:tc>
          <w:tcPr>
            <w:tcW w:w="2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Style11"/>
              <w:spacing w:lineRule="auto" w:line="240"/>
              <w:jc w:val="center"/>
              <w:rPr/>
            </w:pPr>
            <w:r>
              <w:rPr>
                <w:sz w:val="28"/>
                <w:szCs w:val="28"/>
              </w:rPr>
              <w:t>Фамилия, имя, отчество</w:t>
            </w: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Style11"/>
              <w:spacing w:lineRule="auto" w:line="240"/>
              <w:jc w:val="center"/>
              <w:rPr/>
            </w:pPr>
            <w:r>
              <w:rPr>
                <w:sz w:val="28"/>
                <w:szCs w:val="28"/>
              </w:rPr>
              <w:t>Подпись</w:t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Style11"/>
              <w:spacing w:lineRule="auto" w:line="240"/>
              <w:jc w:val="center"/>
              <w:rPr/>
            </w:pPr>
            <w:r>
              <w:rPr>
                <w:sz w:val="28"/>
                <w:szCs w:val="28"/>
              </w:rPr>
              <w:t>Дата</w:t>
            </w:r>
          </w:p>
        </w:tc>
      </w:tr>
      <w:tr>
        <w:trPr>
          <w:trHeight w:val="2370" w:hRule="atLeast"/>
        </w:trPr>
        <w:tc>
          <w:tcPr>
            <w:tcW w:w="2054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Style11"/>
              <w:spacing w:lineRule="auto" w:line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СамГТУ</w:t>
            </w:r>
          </w:p>
        </w:tc>
        <w:tc>
          <w:tcPr>
            <w:tcW w:w="1936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bidi w:val="0"/>
              <w:spacing w:lineRule="auto" w:line="27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Студенты 2-ИАИТ-24ИАИТ-119</w:t>
            </w:r>
          </w:p>
        </w:tc>
        <w:tc>
          <w:tcPr>
            <w:tcW w:w="2031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Style11"/>
              <w:spacing w:lineRule="auto" w:line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А.А. Шаталин,</w:t>
            </w:r>
          </w:p>
          <w:p>
            <w:pPr>
              <w:pStyle w:val="Style11"/>
              <w:spacing w:lineRule="auto" w:line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Т.В. Валитов,</w:t>
            </w:r>
          </w:p>
          <w:p>
            <w:pPr>
              <w:pStyle w:val="Style11"/>
              <w:spacing w:lineRule="auto" w:line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М.Д. Любченко</w:t>
            </w:r>
          </w:p>
        </w:tc>
        <w:tc>
          <w:tcPr>
            <w:tcW w:w="1754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Style11"/>
              <w:spacing w:lineRule="auto" w:line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Style11"/>
              <w:spacing w:lineRule="auto" w:line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4"/>
        <w:gridCol w:w="1934"/>
        <w:gridCol w:w="2031"/>
        <w:gridCol w:w="1754"/>
        <w:gridCol w:w="1582"/>
      </w:tblGrid>
      <w:tr>
        <w:trPr/>
        <w:tc>
          <w:tcPr>
            <w:tcW w:w="9355" w:type="dxa"/>
            <w:gridSpan w:val="5"/>
            <w:tcBorders/>
          </w:tcPr>
          <w:p>
            <w:pPr>
              <w:pStyle w:val="Style11"/>
              <w:spacing w:lineRule="auto" w:line="240"/>
              <w:jc w:val="center"/>
              <w:rPr/>
            </w:pPr>
            <w:r>
              <w:rPr>
                <w:sz w:val="28"/>
                <w:szCs w:val="28"/>
              </w:rPr>
              <w:t>СОГЛАСОВАНО</w:t>
            </w:r>
          </w:p>
        </w:tc>
      </w:tr>
      <w:tr>
        <w:trPr>
          <w:trHeight w:val="1732" w:hRule="atLeast"/>
        </w:trPr>
        <w:tc>
          <w:tcPr>
            <w:tcW w:w="2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Style11"/>
              <w:spacing w:lineRule="auto" w:line="240"/>
              <w:jc w:val="center"/>
              <w:rPr/>
            </w:pPr>
            <w:r>
              <w:rPr>
                <w:sz w:val="28"/>
                <w:szCs w:val="28"/>
              </w:rPr>
              <w:t>Наименование организации, предприятия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Style11"/>
              <w:spacing w:lineRule="auto" w:line="240"/>
              <w:jc w:val="center"/>
              <w:rPr/>
            </w:pPr>
            <w:r>
              <w:rPr>
                <w:sz w:val="28"/>
                <w:szCs w:val="28"/>
              </w:rPr>
              <w:t>Должность</w:t>
            </w:r>
          </w:p>
        </w:tc>
        <w:tc>
          <w:tcPr>
            <w:tcW w:w="2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Style11"/>
              <w:spacing w:lineRule="auto" w:line="240"/>
              <w:jc w:val="center"/>
              <w:rPr/>
            </w:pPr>
            <w:r>
              <w:rPr>
                <w:sz w:val="28"/>
                <w:szCs w:val="28"/>
              </w:rPr>
              <w:t>Фамилия, имя, отчество</w:t>
            </w: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Style11"/>
              <w:spacing w:lineRule="auto" w:line="240"/>
              <w:jc w:val="center"/>
              <w:rPr/>
            </w:pPr>
            <w:r>
              <w:rPr>
                <w:sz w:val="28"/>
                <w:szCs w:val="28"/>
              </w:rPr>
              <w:t>Подпись</w:t>
            </w:r>
          </w:p>
        </w:tc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Style11"/>
              <w:spacing w:lineRule="auto" w:line="240"/>
              <w:jc w:val="center"/>
              <w:rPr/>
            </w:pPr>
            <w:r>
              <w:rPr>
                <w:sz w:val="28"/>
                <w:szCs w:val="28"/>
              </w:rPr>
              <w:t>Дата</w:t>
            </w:r>
          </w:p>
        </w:tc>
      </w:tr>
      <w:tr>
        <w:trPr>
          <w:trHeight w:val="2370" w:hRule="atLeast"/>
        </w:trPr>
        <w:tc>
          <w:tcPr>
            <w:tcW w:w="2054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Style11"/>
              <w:spacing w:lineRule="auto" w:line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СамГТУ</w:t>
            </w:r>
          </w:p>
        </w:tc>
        <w:tc>
          <w:tcPr>
            <w:tcW w:w="1934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Style11"/>
              <w:bidi w:val="0"/>
              <w:spacing w:lineRule="auto" w:line="276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Д. т. н., профессор</w:t>
            </w:r>
          </w:p>
        </w:tc>
        <w:tc>
          <w:tcPr>
            <w:tcW w:w="2031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Style11"/>
              <w:bidi w:val="0"/>
              <w:spacing w:lineRule="auto" w:line="276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А.А. Тюгашев</w:t>
            </w:r>
          </w:p>
        </w:tc>
        <w:tc>
          <w:tcPr>
            <w:tcW w:w="1754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Style11"/>
              <w:spacing w:lineRule="auto" w:line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Style11"/>
              <w:spacing w:lineRule="auto" w:line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1134" w:bottom="1739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8"/>
        <w:szCs w:val="28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pStyle w:val="Heading2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pStyle w:val="Heading3"/>
      <w:numFmt w:val="decimal"/>
      <w:lvlText w:val="%1.%2.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pStyle w:val="Heading4"/>
      <w:numFmt w:val="decimal"/>
      <w:lvlText w:val="%1.%2.%3.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pStyle w:val="Heading5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pStyle w:val="Heading6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pStyle w:val="Heading7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8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19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20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21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2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none"/>
      <w:suff w:val="nothing"/>
      <w:lvlText w:val="%4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none"/>
      <w:suff w:val="nothing"/>
      <w:lvlText w:val="%4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3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OpenSymbol" w:hAnsi="OpenSymbol" w:eastAsia="OpenSymbol" w:cs="OpenSymbol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OpenSymbol" w:hAnsi="OpenSymbol" w:eastAsia="OpenSymbol" w:cs="Open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60"/>
  <w:defaultTabStop w:val="643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NSimSun" w:cs="Lucida Sans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8"/>
    <w:next w:val="BodyText"/>
    <w:qFormat/>
    <w:pPr>
      <w:numPr>
        <w:ilvl w:val="0"/>
        <w:numId w:val="1"/>
      </w:numPr>
      <w:spacing w:before="240" w:after="120"/>
      <w:jc w:val="both"/>
      <w:outlineLvl w:val="0"/>
    </w:pPr>
    <w:rPr>
      <w:rFonts w:ascii="Times New Roman" w:hAnsi="Times New Roman"/>
      <w:b w:val="false"/>
      <w:bCs/>
      <w:sz w:val="28"/>
      <w:szCs w:val="36"/>
    </w:rPr>
  </w:style>
  <w:style w:type="paragraph" w:styleId="Heading2">
    <w:name w:val="Heading 2"/>
    <w:basedOn w:val="Style8"/>
    <w:next w:val="BodyText"/>
    <w:qFormat/>
    <w:pPr>
      <w:numPr>
        <w:ilvl w:val="1"/>
        <w:numId w:val="1"/>
      </w:numPr>
      <w:spacing w:lineRule="auto" w:line="360" w:before="200" w:after="120"/>
      <w:jc w:val="both"/>
      <w:outlineLvl w:val="1"/>
    </w:pPr>
    <w:rPr>
      <w:rFonts w:ascii="Times New Roman" w:hAnsi="Times New Roman"/>
      <w:b w:val="false"/>
      <w:bCs w:val="false"/>
      <w:sz w:val="28"/>
      <w:szCs w:val="28"/>
    </w:rPr>
  </w:style>
  <w:style w:type="paragraph" w:styleId="Heading3">
    <w:name w:val="Heading 3"/>
    <w:basedOn w:val="Style8"/>
    <w:next w:val="BodyText"/>
    <w:qFormat/>
    <w:pPr>
      <w:numPr>
        <w:ilvl w:val="2"/>
        <w:numId w:val="1"/>
      </w:numPr>
      <w:spacing w:lineRule="auto" w:line="360" w:before="140" w:after="120"/>
      <w:ind w:hanging="0"/>
      <w:jc w:val="both"/>
      <w:outlineLvl w:val="2"/>
    </w:pPr>
    <w:rPr>
      <w:rFonts w:ascii="Times New Roman" w:hAnsi="Times New Roman"/>
      <w:b w:val="false"/>
      <w:bCs/>
      <w:sz w:val="28"/>
      <w:szCs w:val="28"/>
    </w:rPr>
  </w:style>
  <w:style w:type="paragraph" w:styleId="Heading4">
    <w:name w:val="Heading 4"/>
    <w:basedOn w:val="Style8"/>
    <w:next w:val="BodyText"/>
    <w:qFormat/>
    <w:pPr>
      <w:numPr>
        <w:ilvl w:val="3"/>
        <w:numId w:val="1"/>
      </w:numPr>
      <w:spacing w:lineRule="auto" w:line="360" w:before="120" w:after="120"/>
      <w:ind w:firstLine="709"/>
      <w:jc w:val="both"/>
      <w:outlineLvl w:val="3"/>
    </w:pPr>
    <w:rPr>
      <w:rFonts w:ascii="Times New Roman" w:hAnsi="Times New Roman"/>
      <w:b w:val="false"/>
      <w:bCs/>
      <w:i w:val="false"/>
      <w:iCs/>
      <w:sz w:val="28"/>
      <w:szCs w:val="26"/>
    </w:rPr>
  </w:style>
  <w:style w:type="paragraph" w:styleId="Heading5">
    <w:name w:val="Heading 5"/>
    <w:basedOn w:val="Style8"/>
    <w:next w:val="BodyText"/>
    <w:qFormat/>
    <w:pPr>
      <w:numPr>
        <w:ilvl w:val="4"/>
        <w:numId w:val="1"/>
      </w:numPr>
      <w:spacing w:lineRule="auto" w:line="360" w:before="120" w:after="60"/>
      <w:ind w:hanging="0"/>
      <w:jc w:val="both"/>
      <w:outlineLvl w:val="4"/>
    </w:pPr>
    <w:rPr>
      <w:rFonts w:ascii="Times New Roman" w:hAnsi="Times New Roman"/>
      <w:b w:val="false"/>
      <w:bCs/>
      <w:sz w:val="28"/>
      <w:szCs w:val="24"/>
    </w:rPr>
  </w:style>
  <w:style w:type="paragraph" w:styleId="Heading6">
    <w:name w:val="Heading 6"/>
    <w:basedOn w:val="Style8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Style8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Style8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Style8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Style5">
    <w:name w:val="Символ нумерации"/>
    <w:qFormat/>
    <w:rPr>
      <w:rFonts w:ascii="Times New Roman" w:hAnsi="Times New Roman"/>
      <w:sz w:val="28"/>
      <w:szCs w:val="28"/>
    </w:rPr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Style7">
    <w:name w:val="Ссылка указателя"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ind w:firstLine="709"/>
      <w:jc w:val="both"/>
    </w:pPr>
    <w:rPr>
      <w:rFonts w:ascii="Times New Roman" w:hAnsi="Times New Roman"/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Style10">
    <w:name w:val="Колонтитул"/>
    <w:basedOn w:val="Normal"/>
    <w:qFormat/>
    <w:pPr>
      <w:suppressLineNumbers/>
      <w:tabs>
        <w:tab w:val="clear" w:pos="643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Style10"/>
    <w:pPr>
      <w:suppressLineNumbers/>
    </w:pPr>
    <w:rPr/>
  </w:style>
  <w:style w:type="paragraph" w:styleId="Footer">
    <w:name w:val="Footer"/>
    <w:basedOn w:val="Style10"/>
    <w:pPr>
      <w:suppressLineNumbers/>
    </w:pPr>
    <w:rPr/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10">
    <w:name w:val="Заголовок 10"/>
    <w:basedOn w:val="Style8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IndexHeading">
    <w:name w:val="Index Heading"/>
    <w:basedOn w:val="Style8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Style9"/>
    <w:pPr>
      <w:tabs>
        <w:tab w:val="clear" w:pos="643"/>
        <w:tab w:val="right" w:pos="9355" w:leader="dot"/>
      </w:tabs>
      <w:ind w:hanging="0" w:left="0"/>
    </w:pPr>
    <w:rPr/>
  </w:style>
  <w:style w:type="paragraph" w:styleId="TOC2">
    <w:name w:val="TOC 2"/>
    <w:basedOn w:val="Style9"/>
    <w:pPr>
      <w:tabs>
        <w:tab w:val="clear" w:pos="643"/>
        <w:tab w:val="right" w:pos="9072" w:leader="dot"/>
      </w:tabs>
      <w:ind w:hanging="0" w:left="283"/>
    </w:pPr>
    <w:rPr/>
  </w:style>
  <w:style w:type="paragraph" w:styleId="TOC3">
    <w:name w:val="TOC 3"/>
    <w:basedOn w:val="Style9"/>
    <w:pPr>
      <w:tabs>
        <w:tab w:val="clear" w:pos="643"/>
        <w:tab w:val="right" w:pos="8788" w:leader="dot"/>
      </w:tabs>
      <w:ind w:hanging="0" w:left="567"/>
    </w:pPr>
    <w:rPr/>
  </w:style>
  <w:style w:type="paragraph" w:styleId="TOC5">
    <w:name w:val="TOC 5"/>
    <w:basedOn w:val="Style9"/>
    <w:pPr>
      <w:tabs>
        <w:tab w:val="clear" w:pos="643"/>
        <w:tab w:val="right" w:pos="8221" w:leader="dot"/>
      </w:tabs>
      <w:ind w:hanging="0" w:left="1134"/>
    </w:pPr>
    <w:rPr/>
  </w:style>
  <w:style w:type="paragraph" w:styleId="TOC4">
    <w:name w:val="TOC 4"/>
    <w:basedOn w:val="Style9"/>
    <w:pPr/>
    <w:rPr/>
  </w:style>
  <w:style w:type="paragraph" w:styleId="TOC6">
    <w:name w:val="TOC 6"/>
    <w:basedOn w:val="Style9"/>
    <w:pPr/>
    <w:rPr/>
  </w:style>
  <w:style w:type="paragraph" w:styleId="TOC7">
    <w:name w:val="TOC 7"/>
    <w:basedOn w:val="Style9"/>
    <w:pPr/>
    <w:rPr/>
  </w:style>
  <w:style w:type="paragraph" w:styleId="TOC8">
    <w:name w:val="TOC 8"/>
    <w:basedOn w:val="Style9"/>
    <w:pPr/>
    <w:rPr/>
  </w:style>
  <w:style w:type="paragraph" w:styleId="TOC9">
    <w:name w:val="TOC 9"/>
    <w:basedOn w:val="Style9"/>
    <w:pPr/>
    <w:rPr/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717</TotalTime>
  <Application>LibreOffice/24.2.2.2$Windows_X86_64 LibreOffice_project/d56cc158d8a96260b836f100ef4b4ef25d6f1a01</Application>
  <AppVersion>15.0000</AppVersion>
  <Pages>28</Pages>
  <Words>3620</Words>
  <Characters>26467</Characters>
  <CharactersWithSpaces>29660</CharactersWithSpaces>
  <Paragraphs>363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2026-03-05T19:11:57Z</dcterms:created>
  <dc:creator/>
  <dc:description/>
  <dc:language>ru-RU</dc:language>
  <cp:lastModifiedBy/>
  <cp:lastPrinted>2026-03-09T15:34:03Z</cp:lastPrinted>
  <dcterms:modified xsi:type="dcterms:W3CDTF">2026-03-23T02:03:09Z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