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240"/>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1905000"/>
                    </a:xfrm>
                    <a:prstGeom prst="rect">
                      <a:avLst/>
                    </a:prstGeom>
                  </pic:spPr>
                </pic:pic>
              </a:graphicData>
            </a:graphic>
          </wp:inline>
        </w:drawing>
      </w:r>
    </w:p>
    <w:p>
      <w:pPr>
        <w:spacing w:after="80"/>
        <w:jc w:val="center"/>
      </w:pPr>
      <w:r>
        <w:rPr>
          <w:b/>
          <w:bCs/>
          <w:color w:val="1A1F52"/>
          <w:sz w:val="32"/>
          <w:szCs w:val="32"/>
        </w:rPr>
        <w:t xml:space="preserve">PRAXIS LOTEN</w:t>
      </w:r>
    </w:p>
    <w:p>
      <w:pPr>
        <w:spacing w:after="600"/>
        <w:jc w:val="center"/>
      </w:pPr>
      <w:r>
        <w:rPr>
          <w:i/>
          <w:iCs/>
          <w:color w:val="76B82A"/>
          <w:sz w:val="22"/>
          <w:szCs w:val="22"/>
        </w:rPr>
        <w:t xml:space="preserve">Physiotherapie &amp; Rehabilitation · Eupen</w:t>
      </w:r>
    </w:p>
    <w:p>
      <w:pPr>
        <w:pBdr>
          <w:bottom w:val="single" w:color="76B82A" w:sz="16" w:space="4"/>
        </w:pBdr>
        <w:spacing w:after="400"/>
        <w:jc w:val="center"/>
      </w:pPr>
      <w:r>
        <w:t xml:space="preserve"/>
      </w:r>
    </w:p>
    <w:p>
      <w:pPr>
        <w:spacing w:after="200"/>
        <w:jc w:val="center"/>
      </w:pPr>
      <w:r>
        <w:rPr>
          <w:b/>
          <w:bCs/>
          <w:color w:val="1A1F52"/>
          <w:sz w:val="44"/>
          <w:szCs w:val="44"/>
        </w:rPr>
        <w:t xml:space="preserve">Indépendant complémentaire</w:t>
      </w:r>
    </w:p>
    <w:p>
      <w:pPr>
        <w:spacing w:after="360"/>
        <w:jc w:val="center"/>
      </w:pPr>
      <w:r>
        <w:rPr>
          <w:color w:val="0D1120"/>
          <w:sz w:val="26"/>
          <w:szCs w:val="26"/>
        </w:rPr>
        <w:t xml:space="preserve">en kinésithérapie vestibulaire</w:t>
      </w:r>
    </w:p>
    <w:p>
      <w:pPr>
        <w:spacing w:after="480" w:line="340"/>
        <w:ind w:left="1000" w:right="1000"/>
        <w:jc w:val="center"/>
      </w:pPr>
      <w:r>
        <w:rPr>
          <w:i/>
          <w:iCs/>
          <w:color w:val="595959"/>
          <w:sz w:val="22"/>
          <w:szCs w:val="22"/>
        </w:rPr>
        <w:t xml:space="preserve">Cadre stratégique, juridique et financier pour démarrer une activité libérale en cabinet privé tout en conservant son poste hospitalier.</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tcBorders>
              <w:top w:val="none"/>
              <w:left w:val="none"/>
              <w:bottom w:val="none"/>
              <w:right w:val="none"/>
            </w:tcBorders>
            <w:tcMar>
              <w:top w:type="dxa" w:w="60"/>
              <w:left w:type="dxa" w:w="0"/>
              <w:bottom w:type="dxa" w:w="60"/>
              <w:right w:type="dxa" w:w="100"/>
            </w:tcMar>
          </w:tcPr>
          <w:p>
            <w:pPr>
              <w:spacing w:after="0"/>
              <w:jc w:val="right"/>
            </w:pPr>
            <w:r>
              <w:rPr>
                <w:b/>
                <w:bCs/>
                <w:color w:val="76B82A"/>
                <w:sz w:val="20"/>
                <w:szCs w:val="20"/>
              </w:rPr>
              <w:t xml:space="preserve">Date</w:t>
            </w:r>
          </w:p>
        </w:tc>
        <w:tc>
          <w:tcPr>
            <w:tcW w:type="dxa" w:w="5000"/>
            <w:tcBorders>
              <w:top w:val="none"/>
              <w:left w:val="none"/>
              <w:bottom w:val="none"/>
              <w:right w:val="none"/>
            </w:tcBorders>
            <w:tcMar>
              <w:top w:type="dxa" w:w="60"/>
              <w:left w:type="dxa" w:w="100"/>
              <w:bottom w:type="dxa" w:w="60"/>
              <w:right w:type="dxa" w:w="0"/>
            </w:tcMar>
          </w:tcPr>
          <w:p>
            <w:pPr>
              <w:spacing w:after="0"/>
            </w:pPr>
            <w:r>
              <w:rPr>
                <w:color w:val="0D1120"/>
                <w:sz w:val="20"/>
                <w:szCs w:val="20"/>
              </w:rPr>
              <w:t xml:space="preserve">22 mai 2026</w:t>
            </w:r>
          </w:p>
        </w:tc>
      </w:tr>
      <w:tr>
        <w:tc>
          <w:tcPr>
            <w:tcW w:type="dxa" w:w="3000"/>
            <w:tcBorders>
              <w:top w:val="none"/>
              <w:left w:val="none"/>
              <w:bottom w:val="none"/>
              <w:right w:val="none"/>
            </w:tcBorders>
            <w:tcMar>
              <w:top w:type="dxa" w:w="60"/>
              <w:left w:type="dxa" w:w="0"/>
              <w:bottom w:type="dxa" w:w="60"/>
              <w:right w:type="dxa" w:w="100"/>
            </w:tcMar>
          </w:tcPr>
          <w:p>
            <w:pPr>
              <w:spacing w:after="0"/>
              <w:jc w:val="right"/>
            </w:pPr>
            <w:r>
              <w:rPr>
                <w:b/>
                <w:bCs/>
                <w:color w:val="76B82A"/>
                <w:sz w:val="20"/>
                <w:szCs w:val="20"/>
              </w:rPr>
              <w:t xml:space="preserve">Version</w:t>
            </w:r>
          </w:p>
        </w:tc>
        <w:tc>
          <w:tcPr>
            <w:tcW w:type="dxa" w:w="5000"/>
            <w:tcBorders>
              <w:top w:val="none"/>
              <w:left w:val="none"/>
              <w:bottom w:val="none"/>
              <w:right w:val="none"/>
            </w:tcBorders>
            <w:tcMar>
              <w:top w:type="dxa" w:w="60"/>
              <w:left w:type="dxa" w:w="100"/>
              <w:bottom w:type="dxa" w:w="60"/>
              <w:right w:type="dxa" w:w="0"/>
            </w:tcMar>
          </w:tcPr>
          <w:p>
            <w:pPr>
              <w:spacing w:after="0"/>
            </w:pPr>
            <w:r>
              <w:rPr>
                <w:color w:val="0D1120"/>
                <w:sz w:val="20"/>
                <w:szCs w:val="20"/>
              </w:rPr>
              <w:t xml:space="preserve">1.0</w:t>
            </w:r>
          </w:p>
        </w:tc>
      </w:tr>
      <w:tr>
        <w:tc>
          <w:tcPr>
            <w:tcW w:type="dxa" w:w="3000"/>
            <w:tcBorders>
              <w:top w:val="none"/>
              <w:left w:val="none"/>
              <w:bottom w:val="none"/>
              <w:right w:val="none"/>
            </w:tcBorders>
            <w:tcMar>
              <w:top w:type="dxa" w:w="60"/>
              <w:left w:type="dxa" w:w="0"/>
              <w:bottom w:type="dxa" w:w="60"/>
              <w:right w:type="dxa" w:w="100"/>
            </w:tcMar>
          </w:tcPr>
          <w:p>
            <w:pPr>
              <w:spacing w:after="0"/>
              <w:jc w:val="right"/>
            </w:pPr>
            <w:r>
              <w:rPr>
                <w:b/>
                <w:bCs/>
                <w:color w:val="76B82A"/>
                <w:sz w:val="20"/>
                <w:szCs w:val="20"/>
              </w:rPr>
              <w:t xml:space="preserve">Auteur</w:t>
            </w:r>
          </w:p>
        </w:tc>
        <w:tc>
          <w:tcPr>
            <w:tcW w:type="dxa" w:w="5000"/>
            <w:tcBorders>
              <w:top w:val="none"/>
              <w:left w:val="none"/>
              <w:bottom w:val="none"/>
              <w:right w:val="none"/>
            </w:tcBorders>
            <w:tcMar>
              <w:top w:type="dxa" w:w="60"/>
              <w:left w:type="dxa" w:w="100"/>
              <w:bottom w:type="dxa" w:w="60"/>
              <w:right w:type="dxa" w:w="0"/>
            </w:tcMar>
          </w:tcPr>
          <w:p>
            <w:pPr>
              <w:spacing w:after="0"/>
            </w:pPr>
            <w:r>
              <w:rPr>
                <w:color w:val="0D1120"/>
                <w:sz w:val="20"/>
                <w:szCs w:val="20"/>
              </w:rPr>
              <w:t xml:space="preserve">Philippe Banaszak — Praxis Loten · PBKINE SRL</w:t>
            </w:r>
          </w:p>
        </w:tc>
      </w:tr>
      <w:tr>
        <w:tc>
          <w:tcPr>
            <w:tcW w:type="dxa" w:w="3000"/>
            <w:tcBorders>
              <w:top w:val="none"/>
              <w:left w:val="none"/>
              <w:bottom w:val="none"/>
              <w:right w:val="none"/>
            </w:tcBorders>
            <w:tcMar>
              <w:top w:type="dxa" w:w="60"/>
              <w:left w:type="dxa" w:w="0"/>
              <w:bottom w:type="dxa" w:w="60"/>
              <w:right w:type="dxa" w:w="100"/>
            </w:tcMar>
          </w:tcPr>
          <w:p>
            <w:pPr>
              <w:spacing w:after="0"/>
              <w:jc w:val="right"/>
            </w:pPr>
            <w:r>
              <w:rPr>
                <w:b/>
                <w:bCs/>
                <w:color w:val="76B82A"/>
                <w:sz w:val="20"/>
                <w:szCs w:val="20"/>
              </w:rPr>
              <w:t xml:space="preserve">Destinataire</w:t>
            </w:r>
          </w:p>
        </w:tc>
        <w:tc>
          <w:tcPr>
            <w:tcW w:type="dxa" w:w="5000"/>
            <w:tcBorders>
              <w:top w:val="none"/>
              <w:left w:val="none"/>
              <w:bottom w:val="none"/>
              <w:right w:val="none"/>
            </w:tcBorders>
            <w:tcMar>
              <w:top w:type="dxa" w:w="60"/>
              <w:left w:type="dxa" w:w="100"/>
              <w:bottom w:type="dxa" w:w="60"/>
              <w:right w:type="dxa" w:w="0"/>
            </w:tcMar>
          </w:tcPr>
          <w:p>
            <w:pPr>
              <w:spacing w:after="0"/>
            </w:pPr>
            <w:r>
              <w:rPr>
                <w:color w:val="0D1120"/>
                <w:sz w:val="20"/>
                <w:szCs w:val="20"/>
              </w:rPr>
              <w:t xml:space="preserve">Une collègue de l'Hôpital Saint-Nicolas (Eupen) envisageant un complément d'activité au cabinet Praxis Loten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500" w:sz="4"/>
              <w:left w:val="single" w:color="B26500" w:sz="32"/>
              <w:bottom w:val="single" w:color="B26500" w:sz="4"/>
              <w:right w:val="single" w:color="B26500" w:sz="4"/>
            </w:tcBorders>
            <w:shd w:fill="FFF4E0" w:val="clear"/>
            <w:tcMar>
              <w:top w:type="dxa" w:w="200"/>
              <w:left w:type="dxa" w:w="260"/>
              <w:bottom w:type="dxa" w:w="200"/>
              <w:right w:type="dxa" w:w="220"/>
            </w:tcMar>
          </w:tcPr>
          <w:p>
            <w:pPr>
              <w:spacing w:after="80"/>
            </w:pPr>
            <w:r>
              <w:rPr>
                <w:b/>
                <w:bCs/>
                <w:color w:val="B26500"/>
                <w:sz w:val="22"/>
                <w:szCs w:val="22"/>
              </w:rPr>
              <w:t xml:space="preserve">Avertissement</w:t>
            </w:r>
          </w:p>
          <w:p>
            <w:pPr>
              <w:spacing w:after="60" w:line="280"/>
            </w:pPr>
            <w:r>
              <w:rPr>
                <w:color w:val="0D1120"/>
                <w:sz w:val="21"/>
                <w:szCs w:val="21"/>
              </w:rPr>
              <w:t xml:space="preserve">Document de cadrage stratégique destiné à éclairer une décision professionnelle. Les chiffres et délais reflètent la réglementation belge en vigueur en mai 2026 et les pratiques du cabinet Praxis Loten.</w:t>
            </w:r>
          </w:p>
          <w:p>
            <w:pPr>
              <w:spacing w:after="60" w:line="280"/>
            </w:pPr>
            <w:r>
              <w:rPr>
                <w:color w:val="0D1120"/>
                <w:sz w:val="21"/>
                <w:szCs w:val="21"/>
              </w:rPr>
              <w:t xml:space="preserve">Toute décision engageante (choix conventionnement, achat de matériel &gt; 5 000 €, choix caisse sociale, simulation fiscale personnalisée) doit être validée avec ton ou ta comptable (libre choix) avant exécution.</w:t>
            </w:r>
          </w:p>
        </w:tc>
      </w:tr>
    </w:tbl>
    <w:p>
      <w:r>
        <w:br w:type="page"/>
      </w:r>
    </w:p>
    <w:p>
      <w:pPr>
        <w:pStyle w:val="Heading1"/>
        <w:spacing w:after="200" w:before="360"/>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1. Contexte et objet du rapport</w:t>
      </w:r>
    </w:p>
    <w:p>
      <w:pPr>
        <w:spacing w:after="120" w:before="0" w:line="300"/>
      </w:pPr>
      <w:r>
        <w:t xml:space="preserve">Tu travailles aujourd'hui à 75 % de l'équivalent temps plein à l'Hôpital Saint-Nicolas d'Eupen, principalement en matinée. Tu envisages de compléter ton activité par une pratique en cabinet privé, l'après-midi, dans le cadre de Praxis Loten — sans pour autant réduire ton activité hospitalière, pour conserver la stabilité d'un salaire fixe pendant la phase de démarrage.</w:t>
      </w:r>
    </w:p>
    <w:p>
      <w:pPr>
        <w:spacing w:after="120" w:before="0" w:line="300"/>
      </w:pPr>
      <w:r>
        <w:t xml:space="preserve">Ce choix est cohérent en début de carrière indépendante : il permet de tester un modèle économique, de construire progressivement une patientèle et d'absorber les frais d'installation sans pression financière immédiate.</w:t>
      </w:r>
    </w:p>
    <w:p>
      <w:pPr>
        <w:pStyle w:val="Heading2"/>
        <w:spacing w:after="160" w:before="280"/>
      </w:pPr>
      <w:r>
        <w:t xml:space="preserve">Ton positionnement clinique : un avantage concret</w:t>
      </w:r>
    </w:p>
    <w:p>
      <w:pPr>
        <w:spacing w:after="120" w:before="0" w:line="300"/>
      </w:pPr>
      <w:r>
        <w:t xml:space="preserve">Tu es spécialisée en kinésithérapie vestibulaire — une niche à forte valeur ajoutée pour plusieurs raisons :</w:t>
      </w:r>
    </w:p>
    <w:p>
      <w:pPr>
        <w:pStyle w:val="ListParagraph"/>
        <w:numPr>
          <w:ilvl w:val="0"/>
          <w:numId w:val="2"/>
        </w:numPr>
        <w:spacing w:after="80" w:line="300"/>
      </w:pPr>
      <w:r>
        <w:t xml:space="preserve">Une demande structurelle non saturée dans la région d'Eupen et la Communauté germanophone.</w:t>
      </w:r>
    </w:p>
    <w:p>
      <w:pPr>
        <w:pStyle w:val="ListParagraph"/>
        <w:numPr>
          <w:ilvl w:val="0"/>
          <w:numId w:val="2"/>
        </w:numPr>
        <w:spacing w:after="80" w:line="300"/>
      </w:pPr>
      <w:r>
        <w:t xml:space="preserve">Un pipeline d'acquisition déjà installé via les ORL de la région (vertige positionnel paroxystique bénin, névrite vestibulaire, maladie de Ménière, presbyvestibulie, instabilité chronique).</w:t>
      </w:r>
    </w:p>
    <w:p>
      <w:pPr>
        <w:pStyle w:val="ListParagraph"/>
        <w:numPr>
          <w:ilvl w:val="0"/>
          <w:numId w:val="2"/>
        </w:numPr>
        <w:spacing w:after="80" w:line="300"/>
      </w:pPr>
      <w:r>
        <w:t xml:space="preserve">Des séances peu remboursées au niveau du nombre via la nomenclature standard, mais à fort potentiel de différenciation tarifaire (déconventionnement partiel ou supplément si déconventionnement) du fait du matériel spécifique et du temps de prise en charge.</w:t>
      </w:r>
    </w:p>
    <w:p>
      <w:pPr>
        <w:pStyle w:val="ListParagraph"/>
        <w:numPr>
          <w:ilvl w:val="0"/>
          <w:numId w:val="2"/>
        </w:numPr>
        <w:spacing w:after="80" w:line="300"/>
      </w:pPr>
      <w:r>
        <w:t xml:space="preserve">Une clientèle souvent fidèle — les troubles vestibulaires chroniques ou récidivants génèrent des prises en charge longitudinales.</w:t>
      </w:r>
    </w:p>
    <w:p>
      <w:pPr>
        <w:pStyle w:val="Heading2"/>
        <w:spacing w:after="160" w:before="280"/>
      </w:pPr>
      <w:r>
        <w:t xml:space="preserve">Objectif du rapport</w:t>
      </w:r>
    </w:p>
    <w:p>
      <w:pPr>
        <w:spacing w:after="120" w:before="0" w:line="300"/>
      </w:pPr>
      <w:r>
        <w:t xml:space="preserve">Le présent document a pour but de te donner une vision globale et honnête du modèle indépendant complémentaire en Belgique, appliqué à ta situation spécifique. Il couvre :</w:t>
      </w:r>
    </w:p>
    <w:p>
      <w:pPr>
        <w:pStyle w:val="ListParagraph"/>
        <w:numPr>
          <w:ilvl w:val="0"/>
          <w:numId w:val="3"/>
        </w:numPr>
        <w:spacing w:after="80" w:line="300"/>
      </w:pPr>
      <w:r>
        <w:t xml:space="preserve">Le cadre légal et les démarches administratives initiales.</w:t>
      </w:r>
    </w:p>
    <w:p>
      <w:pPr>
        <w:pStyle w:val="ListParagraph"/>
        <w:numPr>
          <w:ilvl w:val="0"/>
          <w:numId w:val="3"/>
        </w:numPr>
        <w:spacing w:after="80" w:line="300"/>
      </w:pPr>
      <w:r>
        <w:t xml:space="preserve">Le fonctionnement comptable et fiscal — avec un point de vigilance sur les tranches d'imposition cumulées.</w:t>
      </w:r>
    </w:p>
    <w:p>
      <w:pPr>
        <w:pStyle w:val="ListParagraph"/>
        <w:numPr>
          <w:ilvl w:val="0"/>
          <w:numId w:val="3"/>
        </w:numPr>
        <w:spacing w:after="80" w:line="300"/>
      </w:pPr>
      <w:r>
        <w:t xml:space="preserve">L'organisation pratique au cabinet Praxis Loten : logiciels, intégration équipe, modèle de rétrocession.</w:t>
      </w:r>
    </w:p>
    <w:p>
      <w:pPr>
        <w:pStyle w:val="ListParagraph"/>
        <w:numPr>
          <w:ilvl w:val="0"/>
          <w:numId w:val="3"/>
        </w:numPr>
        <w:spacing w:after="80" w:line="300"/>
      </w:pPr>
      <w:r>
        <w:t xml:space="preserve">Les besoins matériels spécifiques à la pratique vestibulaire, avec gammes de prix réelles et logique d'amortissement.</w:t>
      </w:r>
    </w:p>
    <w:p>
      <w:pPr>
        <w:pStyle w:val="ListParagraph"/>
        <w:numPr>
          <w:ilvl w:val="0"/>
          <w:numId w:val="3"/>
        </w:numPr>
        <w:spacing w:after="80" w:line="300"/>
      </w:pPr>
      <w:r>
        <w:t xml:space="preserve">Une simulation chiffrée concrète : combien restera-t-il, à la fin du mois, en net dans ta poche ?</w:t>
      </w:r>
    </w:p>
    <w:p>
      <w:pPr>
        <w:pStyle w:val="ListParagraph"/>
        <w:numPr>
          <w:ilvl w:val="0"/>
          <w:numId w:val="3"/>
        </w:numPr>
        <w:spacing w:after="80" w:line="300"/>
      </w:pPr>
      <w:r>
        <w:t xml:space="preserve">Les avantages et les risques — sans enrobage.</w:t>
      </w:r>
    </w:p>
    <w:p>
      <w:pPr>
        <w:pStyle w:val="ListParagraph"/>
        <w:numPr>
          <w:ilvl w:val="0"/>
          <w:numId w:val="3"/>
        </w:numPr>
        <w:spacing w:after="80" w:line="300"/>
      </w:pPr>
      <w:r>
        <w:t xml:space="preserve">Une feuille de route décisionnelle structurée.</w:t>
      </w:r>
    </w:p>
    <w:p>
      <w:r>
        <w:br w:type="page"/>
      </w:r>
    </w:p>
    <w:p>
      <w:pPr>
        <w:pStyle w:val="Heading1"/>
        <w:spacing w:after="200" w:before="360"/>
      </w:pPr>
      <w:r>
        <w:t xml:space="preserve">2. Le statut d'indépendant complémentaire en Belgique</w:t>
      </w:r>
    </w:p>
    <w:p>
      <w:pPr>
        <w:pStyle w:val="Heading2"/>
        <w:spacing w:after="160" w:before="280"/>
      </w:pPr>
      <w:r>
        <w:t xml:space="preserve">2.1 Définition légale</w:t>
      </w:r>
    </w:p>
    <w:p>
      <w:pPr>
        <w:spacing w:after="120" w:before="0" w:line="300"/>
      </w:pPr>
      <w:r>
        <w:t xml:space="preserve">Le statut d'indépendant à titre complémentaire s'adresse à toute personne qui exerce déjà une activité principale salariée (au moins un mi-temps statutaire ou un horaire équivalent au temps plein selon le règlement de travail) et qui développe parallèlement une activité indépendante.</w:t>
      </w:r>
    </w:p>
    <w:p>
      <w:pPr>
        <w:spacing w:after="120" w:before="0" w:line="300"/>
      </w:pPr>
      <w:r>
        <w:t xml:space="preserve">Dans ton cas : 75 % ETP à l'hôpital = condition remplie largement. Le contrat hospitalier reste ton activité principale au sens de l'INASTI.</w:t>
      </w:r>
    </w:p>
    <w:p>
      <w:pPr>
        <w:pStyle w:val="Heading2"/>
        <w:spacing w:after="160" w:before="280"/>
      </w:pPr>
      <w:r>
        <w:t xml:space="preserve">2.2 Conséquences administratives concrètes</w:t>
      </w:r>
    </w:p>
    <w:p>
      <w:pPr>
        <w:spacing w:after="120" w:before="0" w:line="300"/>
      </w:pPr>
      <w:r>
        <w:t xml:space="preserve">Le statut complémentaire t'ouvre trois avantages structurants par rapport au statut principal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left"/>
            </w:pPr>
            <w:r>
              <w:rPr>
                <w:b/>
                <w:bCs/>
                <w:color w:val="FFFFFF"/>
                <w:sz w:val="22"/>
                <w:szCs w:val="22"/>
              </w:rPr>
              <w:t xml:space="preserve">Avantage</w:t>
            </w:r>
          </w:p>
        </w:tc>
        <w:tc>
          <w:tcPr>
            <w:tcW w:type="dxa" w:w="624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left"/>
            </w:pPr>
            <w:r>
              <w:rPr>
                <w:b/>
                <w:bCs/>
                <w:color w:val="FFFFFF"/>
                <w:sz w:val="22"/>
                <w:szCs w:val="22"/>
              </w:rPr>
              <w:t xml:space="preserve">Implication concrète pour toi</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Cotisations sociales réduites</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Pas de cotisation minimale forfaitaire. Si tes revenus nets imposables d'indépendante restent sous 1 922,16 € par an, tu ne paies rien à l'INASTI. Au-delà, c'est 20,5 % du revenu net réel.</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Couverture sociale par l'hôpital</w:t>
            </w:r>
          </w:p>
        </w:tc>
        <w:tc>
          <w:tcPr>
            <w:tcW w:type="dxa" w:w="62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Mutuelle, pension, accidents du travail, chômage : tu restes couverte par ton statut salarié. Pas besoin de doubler la couverture.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Démarrage progressif</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Tu peux monter en charge à ton rythme sans contrainte de revenu minimal. Si l'activité ne décolle pas, le coût d'arrêt est faible.</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6B82A" w:sz="4"/>
              <w:left w:val="single" w:color="76B82A" w:sz="32"/>
              <w:bottom w:val="single" w:color="76B82A" w:sz="4"/>
              <w:right w:val="single" w:color="76B82A" w:sz="4"/>
            </w:tcBorders>
            <w:shd w:fill="B2E258" w:val="clear"/>
            <w:tcMar>
              <w:top w:type="dxa" w:w="200"/>
              <w:left w:type="dxa" w:w="260"/>
              <w:bottom w:type="dxa" w:w="200"/>
              <w:right w:type="dxa" w:w="220"/>
            </w:tcMar>
          </w:tcPr>
          <w:p>
            <w:pPr>
              <w:spacing w:after="80"/>
            </w:pPr>
            <w:r>
              <w:rPr>
                <w:b/>
                <w:bCs/>
                <w:color w:val="76B82A"/>
                <w:sz w:val="22"/>
                <w:szCs w:val="22"/>
              </w:rPr>
              <w:t xml:space="preserve">Point important : le primostarter</w:t>
            </w:r>
          </w:p>
          <w:p>
            <w:pPr>
              <w:spacing w:after="60" w:line="280"/>
            </w:pPr>
            <w:r>
              <w:rPr>
                <w:color w:val="0D1120"/>
                <w:sz w:val="21"/>
                <w:szCs w:val="21"/>
              </w:rPr>
              <w:t xml:space="preserve">Si c'est ta première activité indépendante, tu peux bénéficier durant les quatre premiers trimestres du régime « primostarter » : cotisations provisoires sur revenu plancher très bas (environ 90 €/trimestre seulement). Demande explicitement à la caisse sociale lors de l'affiliation.</w:t>
            </w:r>
          </w:p>
          <w:p>
            <w:pPr>
              <w:spacing w:after="60" w:line="280"/>
            </w:pPr>
            <w:r>
              <w:rPr>
                <w:color w:val="0D1120"/>
                <w:sz w:val="21"/>
                <w:szCs w:val="21"/>
              </w:rPr>
              <w:t xml:space="preserve">Attention : la régularisation se fera dans deux à trois ans sur les revenus réels — il faut provisionner mentalement la différence.</w:t>
            </w:r>
          </w:p>
        </w:tc>
      </w:tr>
    </w:tbl>
    <w:p>
      <w:pPr>
        <w:spacing w:after="120"/>
      </w:pPr>
      <w:r>
        <w:t xml:space="preserve"/>
      </w:r>
    </w:p>
    <w:p>
      <w:pPr>
        <w:pStyle w:val="Heading2"/>
        <w:spacing w:after="160" w:before="280"/>
      </w:pPr>
      <w:r>
        <w:t xml:space="preserve">2.3 Différence avec une SRL (société)</w:t>
      </w:r>
    </w:p>
    <w:p>
      <w:pPr>
        <w:spacing w:after="120" w:before="0" w:line="300"/>
      </w:pPr>
      <w:r>
        <w:t xml:space="preserve">Pour démarrer en complémentaire, l'écrasante majorité des kinés exerce en personne physique — c'est plus simple, plus souple, et le seuil de bascule en SRL n'est pas atteint.</w:t>
      </w:r>
    </w:p>
    <w:p>
      <w:pPr>
        <w:spacing w:after="120" w:before="0" w:line="300"/>
      </w:pPr>
      <w:r>
        <w:t xml:space="preserve">La question d'une mise en société (SRL) ne se pose réellement qu'à partir de 30 000 à 40 000 € de bénéfice net annuel, ce qui correspond à un quasi temps plein indépendant. Tant que tu cumules salaire hôpital + complément, la personne physique reste plus efficiente fiscalement et bien plus légère administrativement.</w:t>
      </w:r>
    </w:p>
    <w:p>
      <w:pPr>
        <w:spacing w:after="120" w:before="0" w:line="300"/>
      </w:pPr>
      <w:r>
        <w:rPr>
          <w:b/>
          <w:bCs/>
        </w:rPr>
        <w:t xml:space="preserve">Conclusion : </w:t>
      </w:r>
      <w:r>
        <w:t xml:space="preserve">tu démarres en personne physique. La question SRL pourra être réétudiée avec ton ou ta comptable à 18-24 mois, sur base de revenus réels.</w:t>
      </w:r>
    </w:p>
    <w:p>
      <w:r>
        <w:br w:type="page"/>
      </w:r>
    </w:p>
    <w:p>
      <w:pPr>
        <w:pStyle w:val="Heading1"/>
        <w:spacing w:after="200" w:before="360"/>
      </w:pPr>
      <w:r>
        <w:t xml:space="preserve">3. Démarches administratives : la check-list</w:t>
      </w:r>
    </w:p>
    <w:p>
      <w:pPr>
        <w:spacing w:after="120" w:before="0" w:line="300"/>
      </w:pPr>
      <w:r>
        <w:t xml:space="preserve">Ces démarches s'enchaînent dans un ordre précis. Compter 4 à 6 semaines entre le lancement effectif des démarches et la première facturation, en optimisant le timing.</w:t>
      </w:r>
    </w:p>
    <w:p>
      <w:pPr>
        <w:pStyle w:val="Heading2"/>
        <w:spacing w:after="160" w:before="280"/>
      </w:pPr>
      <w:r>
        <w:t xml:space="preserve">3.1 Chronologie séquentielle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4060"/>
        <w:gridCol w:w="2100"/>
      </w:tblGrid>
      <w:tr>
        <w:trPr>
          <w:tblHeader/>
        </w:trPr>
        <w:tc>
          <w:tcPr>
            <w:tcW w:type="dxa" w:w="80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center"/>
            </w:pPr>
            <w:r>
              <w:rPr>
                <w:b/>
                <w:bCs/>
                <w:color w:val="FFFFFF"/>
                <w:sz w:val="22"/>
                <w:szCs w:val="22"/>
              </w:rPr>
              <w:t xml:space="preserve">#</w:t>
            </w:r>
          </w:p>
        </w:tc>
        <w:tc>
          <w:tcPr>
            <w:tcW w:type="dxa" w:w="240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pPr>
            <w:r>
              <w:rPr>
                <w:b/>
                <w:bCs/>
                <w:color w:val="FFFFFF"/>
                <w:sz w:val="22"/>
                <w:szCs w:val="22"/>
              </w:rPr>
              <w:t xml:space="preserve">Démarche</w:t>
            </w:r>
          </w:p>
        </w:tc>
        <w:tc>
          <w:tcPr>
            <w:tcW w:type="dxa" w:w="406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pPr>
            <w:r>
              <w:rPr>
                <w:b/>
                <w:bCs/>
                <w:color w:val="FFFFFF"/>
                <w:sz w:val="22"/>
                <w:szCs w:val="22"/>
              </w:rPr>
              <w:t xml:space="preserve">Détails</w:t>
            </w:r>
          </w:p>
        </w:tc>
        <w:tc>
          <w:tcPr>
            <w:tcW w:type="dxa" w:w="210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center"/>
            </w:pPr>
            <w:r>
              <w:rPr>
                <w:b/>
                <w:bCs/>
                <w:color w:val="FFFFFF"/>
                <w:sz w:val="22"/>
                <w:szCs w:val="22"/>
              </w:rPr>
              <w:t xml:space="preserve">Coût / Délai</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b/>
                <w:bCs/>
                <w:sz w:val="22"/>
                <w:szCs w:val="22"/>
              </w:rPr>
              <w:t xml:space="preserve">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Inscription Banque-Carrefour des Entreprises (BCE)</w:t>
            </w:r>
          </w:p>
        </w:tc>
        <w:tc>
          <w:tcPr>
            <w:tcW w:type="dxa" w:w="4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Via un guichet d'entreprise agréé (Liantis, Acerta, UCM, Securex, Partena…). Obtention du numéro d'entreprise (TVA, code activité NACE 86.905 — activités des praticiens paramédicaux).</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 105,50 € (forfait BCE 2026)
1 à 5 jours</w:t>
            </w:r>
          </w:p>
        </w:tc>
      </w:tr>
      <w:tr>
        <w:tc>
          <w:tcPr>
            <w:tcW w:type="dxa" w:w="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b/>
                <w:bCs/>
                <w:sz w:val="22"/>
                <w:szCs w:val="22"/>
              </w:rPr>
              <w:t xml:space="preserve">2</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Affiliation caisse d'assurances sociales</w:t>
            </w:r>
          </w:p>
        </w:tc>
        <w:tc>
          <w:tcPr>
            <w:tcW w:type="dxa" w:w="40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À faire dans les 90 jours du début d'activité (souvent en même temps que l'étape 1, mêmes guichets). Choisir une caisse — comparer les frais d'administration (1 à 4 % des cotisations). Exemple : Liantis ≈ 4,25 %.</w:t>
            </w:r>
          </w:p>
        </w:tc>
        <w:tc>
          <w:tcPr>
            <w:tcW w:type="dxa" w:w="2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Gratuit (l'inscription)
Même jour</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b/>
                <w:bCs/>
                <w:sz w:val="22"/>
                <w:szCs w:val="22"/>
              </w:rPr>
              <w:t xml:space="preserve">3</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Activation INAMI</w:t>
            </w:r>
          </w:p>
        </w:tc>
        <w:tc>
          <w:tcPr>
            <w:tcW w:type="dxa" w:w="4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Si tu disposes déjà d'un numéro INAMI à l'hôpital, il suffit de notifier l'INAMI du nouveau lieu d'exercice (cabinet Praxis Loten) via ProSanté. Décision conventionnement / déconventionnement à confirmer au plus tard le 15 décembre pour l'année suivante.</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Gratuit
1 à 3 semaines</w:t>
            </w:r>
          </w:p>
        </w:tc>
      </w:tr>
      <w:tr>
        <w:tc>
          <w:tcPr>
            <w:tcW w:type="dxa" w:w="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b/>
                <w:bCs/>
                <w:sz w:val="22"/>
                <w:szCs w:val="22"/>
              </w:rPr>
              <w:t xml:space="preserve">4</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TVA : régime de franchise</w:t>
            </w:r>
          </w:p>
        </w:tc>
        <w:tc>
          <w:tcPr>
            <w:tcW w:type="dxa" w:w="40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Les soins kinésithérapiques sont exonérés de TVA (art. 44 §1, 1° du Code TVA). Tu ne factures pas de TVA, tu ne récupères pas la TVA sur tes achats. Pas de déclaration TVA périodique à faire.</w:t>
            </w:r>
          </w:p>
        </w:tc>
        <w:tc>
          <w:tcPr>
            <w:tcW w:type="dxa" w:w="2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Gratuit
Automatique</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b/>
                <w:bCs/>
                <w:sz w:val="22"/>
                <w:szCs w:val="22"/>
              </w:rPr>
              <w:t xml:space="preserve">5</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Assurance RC professionnelle</w:t>
            </w:r>
          </w:p>
        </w:tc>
        <w:tc>
          <w:tcPr>
            <w:tcW w:type="dxa" w:w="4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Obligatoire. Libre choix d'assureur : AG, CBC (Julie Wery), Ethias, AMMA, Vivium, ou autre — tarif réaliste 2026 : 250–400 €/an. Vérifie que la couverture inclut l'utilisation du matériel vestibulaire (manœuvres libératrices type Sémont/Epley peuvent générer des incidents — chute, accident vagal).</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250–500 €/an
1 semaine</w:t>
            </w:r>
          </w:p>
        </w:tc>
      </w:tr>
      <w:tr>
        <w:tc>
          <w:tcPr>
            <w:tcW w:type="dxa" w:w="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b/>
                <w:bCs/>
                <w:sz w:val="22"/>
                <w:szCs w:val="22"/>
              </w:rPr>
              <w:t xml:space="preserve">6</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Compte bancaire professionnel</w:t>
            </w:r>
          </w:p>
        </w:tc>
        <w:tc>
          <w:tcPr>
            <w:tcW w:type="dxa" w:w="40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Non obligatoire légalement en personne physique, mais fortement recommandé pour séparer les flux pro et privé — indispensable pour la lisibilité comptable. CBC propose un compte pro à faible coût (Laurent Stassart).</w:t>
            </w:r>
          </w:p>
        </w:tc>
        <w:tc>
          <w:tcPr>
            <w:tcW w:type="dxa" w:w="2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 8–15 €/mois
1 semaine</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b/>
                <w:bCs/>
                <w:sz w:val="22"/>
                <w:szCs w:val="22"/>
              </w:rPr>
              <w:t xml:space="preserve">7</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Choix d'un comptable</w:t>
            </w:r>
          </w:p>
        </w:tc>
        <w:tc>
          <w:tcPr>
            <w:tcW w:type="dxa" w:w="4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Pour la pratique : ton ou ta comptable, déjà comptable du cabinet et de PBKINE SRL — cohérence maximale et bonne connaissance du contexte Praxis Loten. À prévoir : honoraire forfaitaire annuel + déclaration IPP.</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1 200–1 800 €/an
Immédiat</w:t>
            </w:r>
          </w:p>
        </w:tc>
      </w:tr>
      <w:tr>
        <w:tc>
          <w:tcPr>
            <w:tcW w:type="dxa" w:w="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b/>
                <w:bCs/>
                <w:sz w:val="22"/>
                <w:szCs w:val="22"/>
              </w:rPr>
              <w:t xml:space="preserve">8</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Adhésion association pro (optionnel)</w:t>
            </w:r>
          </w:p>
        </w:tc>
        <w:tc>
          <w:tcPr>
            <w:tcW w:type="dxa" w:w="40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L'association professionnelle des kinés en Belgique. Inclut RC + accès newsletters, formations, juridique, défense des intérêts. Très utile pour la veille réglementaire (conventionnement, nomenclature).</w:t>
            </w:r>
          </w:p>
        </w:tc>
        <w:tc>
          <w:tcPr>
            <w:tcW w:type="dxa" w:w="2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 290 €/an
1 semaine</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b/>
                <w:bCs/>
                <w:sz w:val="22"/>
                <w:szCs w:val="22"/>
              </w:rPr>
              <w:t xml:space="preserve">9</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Convention de collaboration Praxis Loten</w:t>
            </w:r>
          </w:p>
        </w:tc>
        <w:tc>
          <w:tcPr>
            <w:tcW w:type="dxa" w:w="4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Contrat écrit définissant : modèle de rétrocession (20 % plafonné à 700 €/mois — au-delà, tu gardes 100 %), modalités d'utilisation du cabinet, horaires, gestion des annulations, conditions de fin de collaboration. À rédiger ou adapter à partir des contrats existants des collègues (Tom, Loïc, Félix).</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Gratuit
1–2 semaines</w:t>
            </w:r>
          </w:p>
        </w:tc>
      </w:tr>
      <w:tr>
        <w:tc>
          <w:tcPr>
            <w:tcW w:type="dxa" w:w="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b/>
                <w:bCs/>
                <w:sz w:val="22"/>
                <w:szCs w:val="22"/>
              </w:rPr>
              <w:t xml:space="preserve">10</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Logiciel patient (libre choix INAMI)</w:t>
            </w:r>
          </w:p>
        </w:tc>
        <w:tc>
          <w:tcPr>
            <w:tcW w:type="dxa" w:w="40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Au cabinet, libre choix parmi les 7 logiciels homologués INAMI 2026 (Crossuite, Fysionotes, Kin&amp;, KineQuick, KinPlus, Oxygen, CareConnect Physiotherapist). Création de ton accès praticien : gestion agenda, dossier patient, facturation, attestations de soins donnés (ASD), envoi mutuelles via MyCareNet.</w:t>
            </w:r>
          </w:p>
        </w:tc>
        <w:tc>
          <w:tcPr>
            <w:tcW w:type="dxa" w:w="2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 35–50 €/mois
1 jour</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1F52" w:sz="4"/>
              <w:left w:val="single" w:color="1A1F52" w:sz="32"/>
              <w:bottom w:val="single" w:color="1A1F52" w:sz="4"/>
              <w:right w:val="single" w:color="1A1F52" w:sz="4"/>
            </w:tcBorders>
            <w:shd w:fill="E8EAFA" w:val="clear"/>
            <w:tcMar>
              <w:top w:type="dxa" w:w="200"/>
              <w:left w:type="dxa" w:w="260"/>
              <w:bottom w:type="dxa" w:w="200"/>
              <w:right w:type="dxa" w:w="220"/>
            </w:tcMar>
          </w:tcPr>
          <w:p>
            <w:pPr>
              <w:spacing w:after="80"/>
            </w:pPr>
            <w:r>
              <w:rPr>
                <w:b/>
                <w:bCs/>
                <w:color w:val="1A1F52"/>
                <w:sz w:val="22"/>
                <w:szCs w:val="22"/>
              </w:rPr>
              <w:t xml:space="preserve">Coût total des démarches initiales (hors matériel)</w:t>
            </w:r>
          </w:p>
          <w:p>
            <w:pPr>
              <w:spacing w:after="60" w:line="280"/>
            </w:pPr>
            <w:r>
              <w:rPr>
                <w:color w:val="0D1120"/>
                <w:sz w:val="21"/>
                <w:szCs w:val="21"/>
              </w:rPr>
              <w:t xml:space="preserve">Frais one-shot : environ 350 à 500 € (BCE + setup compte bancaire + premières licences).</w:t>
            </w:r>
          </w:p>
          <w:p>
            <w:pPr>
              <w:spacing w:after="60" w:line="280"/>
            </w:pPr>
            <w:r>
              <w:rPr>
                <w:color w:val="0D1120"/>
                <w:sz w:val="21"/>
                <w:szCs w:val="21"/>
              </w:rPr>
              <w:t xml:space="preserve">Charges récurrentes annuelles fixes : environ 2 200 à 3 000 €/an (RC pro + comptable + logiciel kiné + association pro optionnelle).</w:t>
            </w:r>
          </w:p>
          <w:p>
            <w:pPr>
              <w:spacing w:after="60" w:line="280"/>
            </w:pPr>
            <w:r>
              <w:rPr>
                <w:color w:val="0D1120"/>
                <w:sz w:val="21"/>
                <w:szCs w:val="21"/>
              </w:rPr>
              <w:t xml:space="preserve">Délai réaliste avant première facturation : 4 à 6 semaines si les démarches sont menées en parallèle.</w:t>
            </w:r>
          </w:p>
        </w:tc>
      </w:tr>
    </w:tbl>
    <w:p>
      <w:r>
        <w:br w:type="page"/>
      </w:r>
    </w:p>
    <w:p>
      <w:pPr>
        <w:pStyle w:val="Heading1"/>
        <w:spacing w:after="200" w:before="360"/>
      </w:pPr>
      <w:r>
        <w:t xml:space="preserve">4. Fonctionnement comptable</w:t>
      </w:r>
    </w:p>
    <w:p>
      <w:pPr>
        <w:spacing w:after="120" w:before="0" w:line="300"/>
      </w:pPr>
      <w:r>
        <w:t xml:space="preserve">La comptabilité d'un kinésithérapeute indépendant en personne physique est de type simplifié (recettes / dépenses) — beaucoup plus léger qu'une comptabilité en société. C'est ton ou ta comptable qui prendra le relais sur l'aspect technique ; ci-dessous, le minimum à comprendre pour suivre intelligemment.</w:t>
      </w:r>
    </w:p>
    <w:p>
      <w:pPr>
        <w:pStyle w:val="Heading2"/>
        <w:spacing w:after="160" w:before="280"/>
      </w:pPr>
      <w:r>
        <w:t xml:space="preserve">4.1 Recettes : comment elles entrent</w:t>
      </w:r>
    </w:p>
    <w:p>
      <w:pPr>
        <w:spacing w:after="120" w:before="0" w:line="300"/>
      </w:pPr>
      <w:r>
        <w:t xml:space="preserve">Chaque séance facturée génère :</w:t>
      </w:r>
    </w:p>
    <w:p>
      <w:pPr>
        <w:pStyle w:val="ListParagraph"/>
        <w:numPr>
          <w:ilvl w:val="0"/>
          <w:numId w:val="2"/>
        </w:numPr>
        <w:spacing w:after="80" w:line="300"/>
      </w:pPr>
      <w:r>
        <w:t xml:space="preserve">Soit une attestation de soins donnés (ASD) — convention M/25, code de nomenclature INAMI (M24 séance courante au cabinet, Fa/Fb pour pathologies lourdes). Tarif fixé, ticket modérateur encaissé, intervention mutuelle remboursée via MyCareNet.</w:t>
      </w:r>
    </w:p>
    <w:p>
      <w:pPr>
        <w:pStyle w:val="ListParagraph"/>
        <w:numPr>
          <w:ilvl w:val="0"/>
          <w:numId w:val="2"/>
        </w:numPr>
        <w:spacing w:after="80" w:line="300"/>
      </w:pPr>
      <w:r>
        <w:t xml:space="preserve">Soit, en cas de déconventionnement, un honoraire libre avec ASD reflétant le tarif conventionné de référence + facture privée pour le supplément (le patient se fait rembourser le tarif conventionné par sa mutuelle, et paye le supplément de sa poche).</w:t>
      </w:r>
    </w:p>
    <w:p>
      <w:pPr>
        <w:spacing w:after="120" w:before="0" w:line="300"/>
      </w:pPr>
      <w:r>
        <w:t xml:space="preserve">La traçabilité via ton logiciel kiné + MyCareNet est complète : pas de gestion manuelle. C'est l'un des points forts de la kiné en BE.</w:t>
      </w:r>
    </w:p>
    <w:p>
      <w:pPr>
        <w:pStyle w:val="Heading2"/>
        <w:spacing w:after="160" w:before="280"/>
      </w:pPr>
      <w:r>
        <w:t xml:space="preserve">4.2 Dépenses déductibles : ce qui réduit la base imposable</w:t>
      </w:r>
    </w:p>
    <w:p>
      <w:pPr>
        <w:spacing w:after="120" w:before="0" w:line="300"/>
      </w:pPr>
      <w:r>
        <w:t xml:space="preserve">Toute dépense exposée pour acquérir ou conserver les revenus professionnels est déductible. Concrètement, dans ta situation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pPr>
            <w:r>
              <w:rPr>
                <w:b/>
                <w:bCs/>
                <w:color w:val="FFFFFF"/>
                <w:sz w:val="22"/>
                <w:szCs w:val="22"/>
              </w:rPr>
              <w:t xml:space="preserve">Catégorie</w:t>
            </w:r>
          </w:p>
        </w:tc>
        <w:tc>
          <w:tcPr>
            <w:tcW w:type="dxa" w:w="312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pPr>
            <w:r>
              <w:rPr>
                <w:b/>
                <w:bCs/>
                <w:color w:val="FFFFFF"/>
                <w:sz w:val="22"/>
                <w:szCs w:val="22"/>
              </w:rPr>
              <w:t xml:space="preserve">Exemples concrets</w:t>
            </w:r>
          </w:p>
        </w:tc>
        <w:tc>
          <w:tcPr>
            <w:tcW w:type="dxa" w:w="312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pPr>
            <w:r>
              <w:rPr>
                <w:b/>
                <w:bCs/>
                <w:color w:val="FFFFFF"/>
                <w:sz w:val="22"/>
                <w:szCs w:val="22"/>
              </w:rPr>
              <w:t xml:space="preserve">Traitement</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Matériel &lt; 1 000 € HT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Petit matériel pédagogique, plots, tapis, livres pro, ouvrages spécialisés…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Déductible immédiatement à 100 %.</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Matériel ≥ 1 000 € HT</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Lunettes VNS, fauteuil rotatoire, casque VR, plateforme, table…</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Amortissement linéaire sur 3 à 10 ans (voir section matériel).</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Formation continue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Congrès, masterclass vestibulaire, IFOMPT, Stanford AI in Health…</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Déductibles à 100 % (frais + déplacements).</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Frais de bureau</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Téléphone pro, abonnement internet pro, papeterie, fournitures.</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Déductibles selon usage pro (forfait 50–80 % usuel).</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Logiciels et abonnements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Logiciel kiné (libre choix), MyCareNet, Office 365, applications cliniques.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Déductibles 100 %.</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Frais véhicule</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Déplacements pro (formations, congrès, visites à domicile éventuelles).</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Forfait kilométrique fiscal (≈ 0,4297 €/km en 2026) ou frais réels.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Cotisations professionnelles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Comptable, RC pro, association pro (optionnel).</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Déductibles 100 %.</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Cotisations sociales INASTI</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Versements trimestriels à la caisse.</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Déductibles 100 % (ligne dédiée IPP).</w:t>
            </w:r>
          </w:p>
        </w:tc>
      </w:tr>
    </w:tbl>
    <w:p>
      <w:pPr>
        <w:spacing w:after="120"/>
      </w:pPr>
      <w:r>
        <w:t xml:space="preserve"/>
      </w:r>
    </w:p>
    <w:p>
      <w:pPr>
        <w:pStyle w:val="Heading2"/>
        <w:spacing w:after="160" w:before="280"/>
      </w:pPr>
      <w:r>
        <w:t xml:space="preserve">4.3 Frais réels vs forfait professionnel</w:t>
      </w:r>
    </w:p>
    <w:p>
      <w:pPr>
        <w:spacing w:after="120" w:before="0" w:line="300"/>
      </w:pPr>
      <w:r>
        <w:t xml:space="preserve">À l'IPP, deux régimes coexistent pour déduire les frais professionnels :</w:t>
      </w:r>
    </w:p>
    <w:p>
      <w:pPr>
        <w:pStyle w:val="ListParagraph"/>
        <w:numPr>
          <w:ilvl w:val="0"/>
          <w:numId w:val="2"/>
        </w:numPr>
        <w:spacing w:after="80" w:line="300"/>
      </w:pPr>
      <w:r>
        <w:t xml:space="preserve">Frais réels : tu déclares toutes tes dépenses justifiées (factures à l'appui).</w:t>
      </w:r>
    </w:p>
    <w:p>
      <w:pPr>
        <w:pStyle w:val="ListParagraph"/>
        <w:numPr>
          <w:ilvl w:val="0"/>
          <w:numId w:val="2"/>
        </w:numPr>
        <w:spacing w:after="80" w:line="300"/>
      </w:pPr>
      <w:r>
        <w:t xml:space="preserve">Forfait légal : application automatique d'un pourcentage (environ 30 % plafonné à ~5 750 € en 2026). Pertinent uniquement si tes frais réels sont très bas.</w:t>
      </w:r>
    </w:p>
    <w:p>
      <w:pPr>
        <w:spacing w:after="120" w:before="0" w:line="300"/>
      </w:pPr>
      <w:r>
        <w:t xml:space="preserve">Dans le cas d'une activité vestibulaire avec matériel à amortir, les frais réels seront quasi systématiquement plus avantageux. ton ou ta comptable fera le calcul à la déclaration.</w:t>
      </w:r>
    </w:p>
    <w:p>
      <w:pPr>
        <w:pStyle w:val="Heading2"/>
        <w:spacing w:after="160" w:before="280"/>
      </w:pPr>
      <w:r>
        <w:t xml:space="preserve">4.4 Obligations de conservation</w:t>
      </w:r>
    </w:p>
    <w:p>
      <w:pPr>
        <w:spacing w:after="120" w:before="0" w:line="300"/>
      </w:pPr>
      <w:r>
        <w:t xml:space="preserve">Conserve pendant 7 ans : factures d'achat, attestations de soins donnés, relevés bancaires pro, factures clients (suppléments si déconventionnée), preuves de frais (essence, train, formations).</w:t>
      </w:r>
    </w:p>
    <w:p>
      <w:r>
        <w:br w:type="page"/>
      </w:r>
    </w:p>
    <w:p>
      <w:pPr>
        <w:pStyle w:val="Heading1"/>
        <w:spacing w:after="200" w:before="360"/>
      </w:pPr>
      <w:r>
        <w:t xml:space="preserve">5. Fonctionnement fiscal — le point critique</w:t>
      </w:r>
    </w:p>
    <w:p>
      <w:pPr>
        <w:spacing w:after="120" w:before="0" w:line="300"/>
      </w:pPr>
      <w:r>
        <w:t xml:space="preserve">C'est probablement la section la plus importante du document. La fiscalité d'un indépendant complémentaire en Belgique a une particularité structurelle : les revenus s'ADDITIONNENT au salaire principal pour le calcul de l'impôt des personnes physiques. Ce qui veut dire que tes premiers euros indépendants sont taxés au taux marginal le plus élevé, pas au taux moyen.</w:t>
      </w:r>
    </w:p>
    <w:p>
      <w:pPr>
        <w:pStyle w:val="Heading2"/>
        <w:spacing w:after="160" w:before="280"/>
      </w:pPr>
      <w:r>
        <w:t xml:space="preserve">5.1 Cotisations sociales INASTI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pPr>
            <w:r>
              <w:rPr>
                <w:b/>
                <w:bCs/>
                <w:color w:val="FFFFFF"/>
                <w:sz w:val="22"/>
                <w:szCs w:val="22"/>
              </w:rPr>
              <w:t xml:space="preserve">Paramètre</w:t>
            </w:r>
          </w:p>
        </w:tc>
        <w:tc>
          <w:tcPr>
            <w:tcW w:type="dxa" w:w="624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pPr>
            <w:r>
              <w:rPr>
                <w:b/>
                <w:bCs/>
                <w:color w:val="FFFFFF"/>
                <w:sz w:val="22"/>
                <w:szCs w:val="22"/>
              </w:rPr>
              <w:t xml:space="preserve">Valeur 2026</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Seuil d'exonération (complémentaire)</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1 922,16 € de revenu net imposable par an : en dessous, 0 cotisation due.</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Taux principal</w:t>
            </w:r>
          </w:p>
        </w:tc>
        <w:tc>
          <w:tcPr>
            <w:tcW w:type="dxa" w:w="62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20,5 % du revenu net imposable, jusqu'à 75 024,54 €.</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Taux tranche haute</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14,16 % sur la tranche de 75 024,54 € à 110 562,42 €. Au-delà : 0 %.</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Calcul provisoire</w:t>
            </w:r>
          </w:p>
        </w:tc>
        <w:tc>
          <w:tcPr>
            <w:tcW w:type="dxa" w:w="62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Basé sur le revenu N-3. La première année tu paies sur un revenu plancher estimé. Régularisation 2-3 ans plus tard, sur base du revenu réel.</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Frais de gestion caisse</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 4 % en plus des cotisations (selon caisse). Comparable entre opérateurs.</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Régularisation</w:t>
            </w:r>
          </w:p>
        </w:tc>
        <w:tc>
          <w:tcPr>
            <w:tcW w:type="dxa" w:w="62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Crucial : provisionner mentalement la différence. Si tu estimes 35 000 € en année 1 et que tu fais 50 000 €, la régul tombera en année 3-4 avec un effet de bord important.</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6B82A" w:sz="4"/>
              <w:left w:val="single" w:color="76B82A" w:sz="32"/>
              <w:bottom w:val="single" w:color="76B82A" w:sz="4"/>
              <w:right w:val="single" w:color="76B82A" w:sz="4"/>
            </w:tcBorders>
            <w:shd w:fill="B2E258" w:val="clear"/>
            <w:tcMar>
              <w:top w:type="dxa" w:w="200"/>
              <w:left w:type="dxa" w:w="260"/>
              <w:bottom w:type="dxa" w:w="200"/>
              <w:right w:type="dxa" w:w="220"/>
            </w:tcMar>
          </w:tcPr>
          <w:p>
            <w:pPr>
              <w:spacing w:after="80"/>
            </w:pPr>
            <w:r>
              <w:rPr>
                <w:b/>
                <w:bCs/>
                <w:color w:val="76B82A"/>
                <w:sz w:val="22"/>
                <w:szCs w:val="22"/>
              </w:rPr>
              <w:t xml:space="preserve">Astuce primostarter</w:t>
            </w:r>
          </w:p>
          <w:p>
            <w:pPr>
              <w:spacing w:after="60" w:line="280"/>
            </w:pPr>
            <w:r>
              <w:rPr>
                <w:color w:val="0D1120"/>
                <w:sz w:val="21"/>
                <w:szCs w:val="21"/>
              </w:rPr>
              <w:t xml:space="preserve">Si c'est ta première activité indépendante, demande explicitement le régime primostarter à l'affiliation : cotisations provisoires très réduites (parfois ~90 €/trimestre) durant les 4 premiers trimestres.</w:t>
            </w:r>
          </w:p>
          <w:p>
            <w:pPr>
              <w:spacing w:after="60" w:line="280"/>
            </w:pPr>
            <w:r>
              <w:rPr>
                <w:color w:val="0D1120"/>
                <w:sz w:val="21"/>
                <w:szCs w:val="21"/>
              </w:rPr>
              <w:t xml:space="preserve">C'est avantageux pour la trésorerie au démarrage, mais ne masque pas la dette future : la régularisation tombera 2-3 ans plus tard. Mieux vaut provisionner sur un compte d'épargne dédié dès la première année.</w:t>
            </w:r>
          </w:p>
        </w:tc>
      </w:tr>
    </w:tbl>
    <w:p>
      <w:pPr>
        <w:spacing w:after="120"/>
      </w:pPr>
      <w:r>
        <w:t xml:space="preserve"/>
      </w:r>
    </w:p>
    <w:p>
      <w:pPr>
        <w:pStyle w:val="Heading2"/>
        <w:spacing w:after="160" w:before="280"/>
      </w:pPr>
      <w:r>
        <w:t xml:space="preserve">5.2 Impôt des personnes physiques (IPP) : le piège du cumul</w:t>
      </w:r>
    </w:p>
    <w:p>
      <w:pPr>
        <w:spacing w:after="120" w:before="0" w:line="300"/>
      </w:pPr>
      <w:r>
        <w:t xml:space="preserve">Les barèmes IPP en Belgique sont fortement progressifs. En 2026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pPr>
            <w:r>
              <w:rPr>
                <w:b/>
                <w:bCs/>
                <w:color w:val="FFFFFF"/>
                <w:sz w:val="22"/>
                <w:szCs w:val="22"/>
              </w:rPr>
              <w:t xml:space="preserve">Tranche de revenu net imposable</w:t>
            </w:r>
          </w:p>
        </w:tc>
        <w:tc>
          <w:tcPr>
            <w:tcW w:type="dxa" w:w="312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center"/>
            </w:pPr>
            <w:r>
              <w:rPr>
                <w:b/>
                <w:bCs/>
                <w:color w:val="FFFFFF"/>
                <w:sz w:val="22"/>
                <w:szCs w:val="22"/>
              </w:rPr>
              <w:t xml:space="preserve">Taux marginal</w:t>
            </w:r>
          </w:p>
        </w:tc>
        <w:tc>
          <w:tcPr>
            <w:tcW w:type="dxa" w:w="312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pPr>
            <w:r>
              <w:rPr>
                <w:b/>
                <w:bCs/>
                <w:color w:val="FFFFFF"/>
                <w:sz w:val="22"/>
                <w:szCs w:val="22"/>
              </w:rPr>
              <w:t xml:space="preserve">Effet pratique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0 à 16 320 €</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b/>
                <w:bCs/>
                <w:sz w:val="22"/>
                <w:szCs w:val="22"/>
              </w:rPr>
              <w:t xml:space="preserve">20 %</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Largement absorbé par ton salaire hôpital.</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16 320 à 28 800 €</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b/>
                <w:bCs/>
                <w:sz w:val="22"/>
                <w:szCs w:val="22"/>
              </w:rPr>
              <w:t xml:space="preserve">40 %</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Idem.</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28 800 à 49 840 €</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b/>
                <w:bCs/>
                <w:sz w:val="22"/>
                <w:szCs w:val="22"/>
              </w:rPr>
              <w:t xml:space="preserve">45 %</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color w:val="B26500"/>
                <w:sz w:val="22"/>
                <w:szCs w:val="22"/>
              </w:rPr>
              <w:t xml:space="preserve">Tes premiers euros indépendants tombent ici.</w:t>
            </w:r>
          </w:p>
        </w:tc>
      </w:tr>
      <w:tr>
        <w:tc>
          <w:tcPr>
            <w:tcW w:type="dxa" w:w="3120"/>
            <w:tcBorders>
              <w:top w:val="single" w:color="BFBFBF" w:sz="4"/>
              <w:left w:val="single" w:color="BFBFBF" w:sz="4"/>
              <w:bottom w:val="single" w:color="BFBFBF" w:sz="4"/>
              <w:right w:val="single" w:color="BFBFBF" w:sz="4"/>
            </w:tcBorders>
            <w:shd w:fill="FFEBEE" w:val="clear"/>
            <w:tcMar>
              <w:top w:type="dxa" w:w="100"/>
              <w:left w:type="dxa" w:w="140"/>
              <w:bottom w:type="dxa" w:w="100"/>
              <w:right w:type="dxa" w:w="140"/>
            </w:tcMar>
            <w:vAlign w:val="center"/>
          </w:tcPr>
          <w:p>
            <w:pPr>
              <w:spacing w:after="0" w:line="280"/>
            </w:pPr>
            <w:r>
              <w:rPr>
                <w:sz w:val="22"/>
                <w:szCs w:val="22"/>
              </w:rPr>
              <w:t xml:space="preserve">Au-delà de 49 840 €</w:t>
            </w:r>
          </w:p>
        </w:tc>
        <w:tc>
          <w:tcPr>
            <w:tcW w:type="dxa" w:w="3120"/>
            <w:tcBorders>
              <w:top w:val="single" w:color="BFBFBF" w:sz="4"/>
              <w:left w:val="single" w:color="BFBFBF" w:sz="4"/>
              <w:bottom w:val="single" w:color="BFBFBF" w:sz="4"/>
              <w:right w:val="single" w:color="BFBFBF" w:sz="4"/>
            </w:tcBorders>
            <w:shd w:fill="FFEBEE" w:val="clear"/>
            <w:tcMar>
              <w:top w:type="dxa" w:w="100"/>
              <w:left w:type="dxa" w:w="140"/>
              <w:bottom w:type="dxa" w:w="100"/>
              <w:right w:type="dxa" w:w="140"/>
            </w:tcMar>
            <w:vAlign w:val="center"/>
          </w:tcPr>
          <w:p>
            <w:pPr>
              <w:spacing w:after="0" w:line="280"/>
              <w:jc w:val="center"/>
            </w:pPr>
            <w:r>
              <w:rPr>
                <w:b/>
                <w:bCs/>
                <w:color w:val="B71C1C"/>
                <w:sz w:val="22"/>
                <w:szCs w:val="22"/>
              </w:rPr>
              <w:t xml:space="preserve">50 %</w:t>
            </w:r>
          </w:p>
        </w:tc>
        <w:tc>
          <w:tcPr>
            <w:tcW w:type="dxa" w:w="3120"/>
            <w:tcBorders>
              <w:top w:val="single" w:color="BFBFBF" w:sz="4"/>
              <w:left w:val="single" w:color="BFBFBF" w:sz="4"/>
              <w:bottom w:val="single" w:color="BFBFBF" w:sz="4"/>
              <w:right w:val="single" w:color="BFBFBF" w:sz="4"/>
            </w:tcBorders>
            <w:shd w:fill="FFEBEE" w:val="clear"/>
            <w:tcMar>
              <w:top w:type="dxa" w:w="100"/>
              <w:left w:type="dxa" w:w="140"/>
              <w:bottom w:type="dxa" w:w="100"/>
              <w:right w:type="dxa" w:w="140"/>
            </w:tcMar>
            <w:vAlign w:val="center"/>
          </w:tcPr>
          <w:p>
            <w:pPr>
              <w:spacing w:after="0" w:line="280"/>
            </w:pPr>
            <w:r>
              <w:rPr>
                <w:color w:val="B71C1C"/>
                <w:sz w:val="22"/>
                <w:szCs w:val="22"/>
              </w:rPr>
              <w:t xml:space="preserve">Au-delà de ~50 k€ total, chaque euro est taxé à 50 % + cotisation communale.</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1C1C" w:sz="4"/>
              <w:left w:val="single" w:color="B71C1C" w:sz="32"/>
              <w:bottom w:val="single" w:color="B71C1C" w:sz="4"/>
              <w:right w:val="single" w:color="B71C1C" w:sz="4"/>
            </w:tcBorders>
            <w:shd w:fill="FFEBEE" w:val="clear"/>
            <w:tcMar>
              <w:top w:type="dxa" w:w="200"/>
              <w:left w:type="dxa" w:w="260"/>
              <w:bottom w:type="dxa" w:w="200"/>
              <w:right w:type="dxa" w:w="220"/>
            </w:tcMar>
          </w:tcPr>
          <w:p>
            <w:pPr>
              <w:spacing w:after="80"/>
            </w:pPr>
            <w:r>
              <w:rPr>
                <w:b/>
                <w:bCs/>
                <w:color w:val="B71C1C"/>
                <w:sz w:val="22"/>
                <w:szCs w:val="22"/>
              </w:rPr>
              <w:t xml:space="preserve">Le mécanisme à comprendre</w:t>
            </w:r>
          </w:p>
          <w:p>
            <w:pPr>
              <w:spacing w:after="60" w:line="280"/>
            </w:pPr>
            <w:r>
              <w:rPr>
                <w:color w:val="0D1120"/>
                <w:sz w:val="21"/>
                <w:szCs w:val="21"/>
              </w:rPr>
              <w:t xml:space="preserve">Ton salaire hôpital à 75 % ETP représente environ 31 000 à 32 000 € de revenu net imposable par an. Tu es donc déjà dans la tranche à 45 %.</w:t>
            </w:r>
          </w:p>
          <w:p>
            <w:pPr>
              <w:spacing w:after="60" w:line="280"/>
            </w:pPr>
            <w:r>
              <w:rPr>
                <w:color w:val="0D1120"/>
                <w:sz w:val="21"/>
                <w:szCs w:val="21"/>
              </w:rPr>
              <w:t xml:space="preserve">Chaque euro de bénéfice indépendant vient S'AJOUTER en haut de cette tranche : 45 % puis 50 % au-delà de 49 840 €.</w:t>
            </w:r>
          </w:p>
          <w:p>
            <w:pPr>
              <w:spacing w:after="60" w:line="280"/>
            </w:pPr>
            <w:r>
              <w:rPr>
                <w:color w:val="0D1120"/>
                <w:sz w:val="21"/>
                <w:szCs w:val="21"/>
              </w:rPr>
              <w:t xml:space="preserve">Ajoute la taxe communale (≈ 7 % de l'impôt dû à Eupen) et les cotisations sociales (20,5 %) : ton taux de prélèvement marginal réel sur le bénéfice indépendant tourne autour de 58 à 65 %.</w:t>
            </w:r>
          </w:p>
          <w:p>
            <w:pPr>
              <w:spacing w:after="60" w:line="280"/>
            </w:pPr>
            <w:r>
              <w:rPr>
                <w:color w:val="0D1120"/>
                <w:sz w:val="21"/>
                <w:szCs w:val="21"/>
              </w:rPr>
              <w:t xml:space="preserve">Concrètement : sur 1 000 € de bénéfice indépendant supplémentaire, il te restera environ 380 à 420 €. C'est dur, c'est le système belge.</w:t>
            </w:r>
          </w:p>
        </w:tc>
      </w:tr>
    </w:tbl>
    <w:p>
      <w:pPr>
        <w:spacing w:after="120"/>
      </w:pPr>
      <w:r>
        <w:t xml:space="preserve"/>
      </w:r>
    </w:p>
    <w:p>
      <w:pPr>
        <w:pStyle w:val="Heading2"/>
        <w:spacing w:after="160" w:before="280"/>
      </w:pPr>
      <w:r>
        <w:t xml:space="preserve">5.3 Stratégies fiscales légales utilisables</w:t>
      </w:r>
    </w:p>
    <w:p>
      <w:pPr>
        <w:spacing w:after="120" w:before="0" w:line="300"/>
      </w:pPr>
      <w:r>
        <w:t xml:space="preserve">Plusieurs leviers existent pour optimiser légalement le revenu net :</w:t>
      </w:r>
    </w:p>
    <w:p>
      <w:pPr>
        <w:pStyle w:val="ListParagraph"/>
        <w:numPr>
          <w:ilvl w:val="0"/>
          <w:numId w:val="3"/>
        </w:numPr>
        <w:spacing w:after="80" w:line="300"/>
      </w:pPr>
      <w:r>
        <w:t xml:space="preserve">Maximiser les amortissements la première année (matériel acheté avant le 31/12 = amortissement complet sur l'année).</w:t>
      </w:r>
    </w:p>
    <w:p>
      <w:pPr>
        <w:pStyle w:val="ListParagraph"/>
        <w:numPr>
          <w:ilvl w:val="0"/>
          <w:numId w:val="3"/>
        </w:numPr>
        <w:spacing w:after="80" w:line="300"/>
      </w:pPr>
      <w:r>
        <w:t xml:space="preserve">Versements anticipés trimestriels : évite la majoration pour absence de versement anticipé (3 à 6 % d'impôt en plus si tu ne verses pas régulièrement).</w:t>
      </w:r>
    </w:p>
    <w:p>
      <w:pPr>
        <w:pStyle w:val="ListParagraph"/>
        <w:numPr>
          <w:ilvl w:val="0"/>
          <w:numId w:val="3"/>
        </w:numPr>
        <w:spacing w:after="80" w:line="300"/>
      </w:pPr>
      <w:r>
        <w:t xml:space="preserve">PLCI (Pension Libre Complémentaire pour Indépendants) : cotisation déductible de l'IPP, jusqu'à environ 3 900 €/an, qui construit ta pension. C'est l'optimisation la plus rentable en complémentaire.</w:t>
      </w:r>
    </w:p>
    <w:p>
      <w:pPr>
        <w:pStyle w:val="ListParagraph"/>
        <w:numPr>
          <w:ilvl w:val="0"/>
          <w:numId w:val="3"/>
        </w:numPr>
        <w:spacing w:after="80" w:line="300"/>
      </w:pPr>
      <w:r>
        <w:t xml:space="preserve">Frais réels bien documentés : conserve tous les justificatifs, même de faible valeur — ils s'accumulent.</w:t>
      </w:r>
    </w:p>
    <w:p>
      <w:pPr>
        <w:pStyle w:val="ListParagraph"/>
        <w:numPr>
          <w:ilvl w:val="0"/>
          <w:numId w:val="3"/>
        </w:numPr>
        <w:spacing w:after="80" w:line="300"/>
      </w:pPr>
      <w:r>
        <w:t xml:space="preserve">Bascule en SRL à terme : pertinente si le bénéfice annuel dépasse 30 000–40 000 €. À évaluer avec ton ou ta comptable à 18-24 mois.</w:t>
      </w:r>
    </w:p>
    <w:p>
      <w:pPr>
        <w:spacing w:after="120"/>
      </w:pPr>
      <w:r>
        <w:t xml:space="preserve"/>
      </w:r>
    </w:p>
    <w:p>
      <w:r>
        <w:br w:type="page"/>
      </w:r>
    </w:p>
    <w:p>
      <w:pPr>
        <w:pStyle w:val="Heading1"/>
        <w:spacing w:after="200" w:before="360"/>
      </w:pPr>
      <w:r>
        <w:t xml:space="preserve">6. Organisation au cabinet Praxis Loten</w:t>
      </w:r>
    </w:p>
    <w:p>
      <w:pPr>
        <w:pStyle w:val="Heading2"/>
        <w:spacing w:after="160" w:before="280"/>
      </w:pPr>
      <w:r>
        <w:t xml:space="preserve">6.1 Modèle économique de collaboration</w:t>
      </w:r>
    </w:p>
    <w:p>
      <w:pPr>
        <w:spacing w:after="120" w:before="0" w:line="300"/>
      </w:pPr>
      <w:r>
        <w:t xml:space="preserve">Le cabinet Praxis Loten fonctionne sur un modèle de rétrocession plafonnée, déjà appliqué pour Tom, Loïc et Félix. Pour toi, le modèle serait identique à celui des autres collaborateurs et collaboratrices (700 €/mois plafond)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Rétrocession</w:t>
            </w:r>
          </w:p>
        </w:tc>
        <w:tc>
          <w:tcPr>
            <w:tcW w:type="dxa" w:w="62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20 % du chiffre d'affaires brut.</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Plafond mensuel</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700 €/mois maximum. Au-delà du seuil mensuel correspondant (= 2 800 € de CA mensuel), tu gardes 100 % du surplus.</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Inclut</w:t>
            </w:r>
          </w:p>
        </w:tc>
        <w:tc>
          <w:tcPr>
            <w:tcW w:type="dxa" w:w="62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Mise à disposition du cabinet, charges (eau, électricité, chauffage), entretien, chacun et chacune gère son agenda et son administratif.</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N'inclut PAS</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Ton matériel vestibulaire propre (tu l'achètes et l'amortis sur ta comptabilité), ton assurance RC, ton comptable, tes cotisations sociales.</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6B82A" w:sz="4"/>
              <w:left w:val="single" w:color="76B82A" w:sz="32"/>
              <w:bottom w:val="single" w:color="76B82A" w:sz="4"/>
              <w:right w:val="single" w:color="76B82A" w:sz="4"/>
            </w:tcBorders>
            <w:shd w:fill="B2E258" w:val="clear"/>
            <w:tcMar>
              <w:top w:type="dxa" w:w="200"/>
              <w:left w:type="dxa" w:w="260"/>
              <w:bottom w:type="dxa" w:w="200"/>
              <w:right w:type="dxa" w:w="220"/>
            </w:tcMar>
          </w:tcPr>
          <w:p>
            <w:pPr>
              <w:spacing w:after="80"/>
            </w:pPr>
            <w:r>
              <w:rPr>
                <w:b/>
                <w:bCs/>
                <w:color w:val="76B82A"/>
                <w:sz w:val="22"/>
                <w:szCs w:val="22"/>
              </w:rPr>
              <w:t xml:space="preserve">Pourquoi ce modèle est avantageux pour un démarrage</w:t>
            </w:r>
          </w:p>
          <w:p>
            <w:pPr>
              <w:spacing w:after="60" w:line="280"/>
            </w:pPr>
            <w:r>
              <w:rPr>
                <w:color w:val="0D1120"/>
                <w:sz w:val="21"/>
                <w:szCs w:val="21"/>
              </w:rPr>
              <w:t xml:space="preserve">Sur un cabinet privé classique, la part du loyer + charges grimpe vite à 30–35 % du CA brut sans plafond.</w:t>
            </w:r>
          </w:p>
          <w:p>
            <w:pPr>
              <w:spacing w:after="60" w:line="280"/>
            </w:pPr>
            <w:r>
              <w:rPr>
                <w:color w:val="0D1120"/>
                <w:sz w:val="21"/>
                <w:szCs w:val="21"/>
              </w:rPr>
              <w:t xml:space="preserve">Avec le plafond Praxis Loten à 700 €/mois, dès que tu dépasses 2 800 € de CA mensuel, ton coût marginal cabinet tombe à 0 — tu gardes 100 % de chaque euro additionnel.</w:t>
            </w:r>
          </w:p>
          <w:p>
            <w:pPr>
              <w:spacing w:after="60" w:line="280"/>
            </w:pPr>
            <w:r>
              <w:rPr>
                <w:color w:val="0D1120"/>
                <w:sz w:val="21"/>
                <w:szCs w:val="21"/>
              </w:rPr>
              <w:t xml:space="preserve">Ce levier est précisément ce qui rend la spécialisation vestibulaire (séances longues, supplément éventuel, matériel dédié) rentable au cabinet Praxis Loten.</w:t>
            </w:r>
          </w:p>
        </w:tc>
      </w:tr>
    </w:tbl>
    <w:p>
      <w:pPr>
        <w:spacing w:after="120"/>
      </w:pPr>
      <w:r>
        <w:t xml:space="preserve"/>
      </w:r>
    </w:p>
    <w:p>
      <w:pPr>
        <w:pStyle w:val="Heading2"/>
        <w:spacing w:after="160" w:before="280"/>
      </w:pPr>
      <w:r>
        <w:t xml:space="preserve">6.2 Planning hebdomadaire envisagé</w:t>
      </w:r>
    </w:p>
    <w:p>
      <w:pPr>
        <w:spacing w:after="120" w:before="0" w:line="300"/>
      </w:pPr>
      <w:r>
        <w:t xml:space="preserve">Sur la base de 4 après-midi par semaine au cabinet (libérables une fois le matin terminé à l'hôpital), avec rythme adapté à la kiné vestibulaire (bilan initial 60 min, séances de suivi 30–45 min)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center"/>
            </w:pPr>
            <w:r>
              <w:rPr>
                <w:b/>
                <w:bCs/>
                <w:color w:val="FFFFFF"/>
                <w:sz w:val="22"/>
                <w:szCs w:val="22"/>
              </w:rPr>
              <w:t xml:space="preserve">Jour</w:t>
            </w:r>
          </w:p>
        </w:tc>
        <w:tc>
          <w:tcPr>
            <w:tcW w:type="dxa" w:w="1872"/>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center"/>
            </w:pPr>
            <w:r>
              <w:rPr>
                <w:b/>
                <w:bCs/>
                <w:color w:val="FFFFFF"/>
                <w:sz w:val="22"/>
                <w:szCs w:val="22"/>
              </w:rPr>
              <w:t xml:space="preserve">Matin</w:t>
            </w:r>
          </w:p>
        </w:tc>
        <w:tc>
          <w:tcPr>
            <w:tcW w:type="dxa" w:w="1872"/>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center"/>
            </w:pPr>
            <w:r>
              <w:rPr>
                <w:b/>
                <w:bCs/>
                <w:color w:val="FFFFFF"/>
                <w:sz w:val="22"/>
                <w:szCs w:val="22"/>
              </w:rPr>
              <w:t xml:space="preserve">Après-midi</w:t>
            </w:r>
          </w:p>
        </w:tc>
        <w:tc>
          <w:tcPr>
            <w:tcW w:type="dxa" w:w="1872"/>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center"/>
            </w:pPr>
            <w:r>
              <w:rPr>
                <w:b/>
                <w:bCs/>
                <w:color w:val="FFFFFF"/>
                <w:sz w:val="22"/>
                <w:szCs w:val="22"/>
              </w:rPr>
              <w:t xml:space="preserve">Séances visées</w:t>
            </w:r>
          </w:p>
        </w:tc>
        <w:tc>
          <w:tcPr>
            <w:tcW w:type="dxa" w:w="1872"/>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center"/>
            </w:pPr>
            <w:r>
              <w:rPr>
                <w:b/>
                <w:bCs/>
                <w:color w:val="FFFFFF"/>
                <w:sz w:val="22"/>
                <w:szCs w:val="22"/>
              </w:rPr>
              <w:t xml:space="preserve">Type</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Lundi</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Hôpital</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b/>
                <w:bCs/>
                <w:color w:val="1A1F52"/>
                <w:sz w:val="22"/>
                <w:szCs w:val="22"/>
              </w:rPr>
              <w:t xml:space="preserve">Cabinet</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6 à 8</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Bilans + suivi</w:t>
            </w:r>
          </w:p>
        </w:tc>
      </w:tr>
      <w:tr>
        <w:tc>
          <w:tcPr>
            <w:tcW w:type="dxa" w:w="1872"/>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Mardi</w:t>
            </w:r>
          </w:p>
        </w:tc>
        <w:tc>
          <w:tcPr>
            <w:tcW w:type="dxa" w:w="1872"/>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Hôpital</w:t>
            </w:r>
          </w:p>
        </w:tc>
        <w:tc>
          <w:tcPr>
            <w:tcW w:type="dxa" w:w="1872"/>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b/>
                <w:bCs/>
                <w:color w:val="1A1F52"/>
                <w:sz w:val="22"/>
                <w:szCs w:val="22"/>
              </w:rPr>
              <w:t xml:space="preserve">Cabinet</w:t>
            </w:r>
          </w:p>
        </w:tc>
        <w:tc>
          <w:tcPr>
            <w:tcW w:type="dxa" w:w="1872"/>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6 à 8</w:t>
            </w:r>
          </w:p>
        </w:tc>
        <w:tc>
          <w:tcPr>
            <w:tcW w:type="dxa" w:w="1872"/>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Suivi VPPB</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Mercredi</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Hôpital</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b/>
                <w:bCs/>
                <w:color w:val="1A1F52"/>
                <w:sz w:val="22"/>
                <w:szCs w:val="22"/>
              </w:rPr>
              <w:t xml:space="preserve">Cabinet</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6 à 8</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Bilans + VR</w:t>
            </w:r>
          </w:p>
        </w:tc>
      </w:tr>
      <w:tr>
        <w:tc>
          <w:tcPr>
            <w:tcW w:type="dxa" w:w="1872"/>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Jeudi</w:t>
            </w:r>
          </w:p>
        </w:tc>
        <w:tc>
          <w:tcPr>
            <w:tcW w:type="dxa" w:w="1872"/>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Hôpital</w:t>
            </w:r>
          </w:p>
        </w:tc>
        <w:tc>
          <w:tcPr>
            <w:tcW w:type="dxa" w:w="1872"/>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b/>
                <w:bCs/>
                <w:color w:val="1A1F52"/>
                <w:sz w:val="22"/>
                <w:szCs w:val="22"/>
              </w:rPr>
              <w:t xml:space="preserve">Cabinet</w:t>
            </w:r>
          </w:p>
        </w:tc>
        <w:tc>
          <w:tcPr>
            <w:tcW w:type="dxa" w:w="1872"/>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6 à 8</w:t>
            </w:r>
          </w:p>
        </w:tc>
        <w:tc>
          <w:tcPr>
            <w:tcW w:type="dxa" w:w="1872"/>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Mixte</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Vendredi</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Hôpital</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color w:val="595959"/>
                <w:sz w:val="22"/>
                <w:szCs w:val="22"/>
              </w:rPr>
              <w:t xml:space="preserve">Libre / récup.</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color w:val="595959"/>
                <w:sz w:val="22"/>
                <w:szCs w:val="22"/>
              </w:rPr>
              <w:t xml:space="preserv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color w:val="595959"/>
                <w:sz w:val="22"/>
                <w:szCs w:val="22"/>
              </w:rPr>
              <w:t xml:space="preserve">—</w:t>
            </w:r>
          </w:p>
        </w:tc>
      </w:tr>
      <w:tr>
        <w:tc>
          <w:tcPr>
            <w:tcW w:type="dxa" w:w="1872"/>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pPr>
            <w:r>
              <w:rPr>
                <w:b/>
                <w:bCs/>
                <w:color w:val="FFFFFF"/>
                <w:sz w:val="22"/>
                <w:szCs w:val="22"/>
              </w:rPr>
              <w:t xml:space="preserve">TOTAL</w:t>
            </w:r>
          </w:p>
        </w:tc>
        <w:tc>
          <w:tcPr>
            <w:tcW w:type="dxa" w:w="1872"/>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center"/>
            </w:pPr>
            <w:r>
              <w:rPr>
                <w:color w:val="FFFFFF"/>
                <w:sz w:val="22"/>
                <w:szCs w:val="22"/>
              </w:rPr>
              <w:t xml:space="preserve">—</w:t>
            </w:r>
          </w:p>
        </w:tc>
        <w:tc>
          <w:tcPr>
            <w:tcW w:type="dxa" w:w="1872"/>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center"/>
            </w:pPr>
            <w:r>
              <w:rPr>
                <w:b/>
                <w:bCs/>
                <w:color w:val="FFFFFF"/>
                <w:sz w:val="22"/>
                <w:szCs w:val="22"/>
              </w:rPr>
              <w:t xml:space="preserve">16 demi-jours/mois</w:t>
            </w:r>
          </w:p>
        </w:tc>
        <w:tc>
          <w:tcPr>
            <w:tcW w:type="dxa" w:w="1872"/>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center"/>
            </w:pPr>
            <w:r>
              <w:rPr>
                <w:b/>
                <w:bCs/>
                <w:color w:val="FFFFFF"/>
                <w:sz w:val="22"/>
                <w:szCs w:val="22"/>
              </w:rPr>
              <w:t xml:space="preserve">≈ 25–32/sem.</w:t>
            </w:r>
          </w:p>
        </w:tc>
        <w:tc>
          <w:tcPr>
            <w:tcW w:type="dxa" w:w="1872"/>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center"/>
            </w:pPr>
            <w:r>
              <w:rPr>
                <w:b/>
                <w:bCs/>
                <w:color w:val="FFFFFF"/>
                <w:sz w:val="22"/>
                <w:szCs w:val="22"/>
              </w:rPr>
              <w:t xml:space="preserve">≈ 1 200–1 440/an</w:t>
            </w:r>
          </w:p>
        </w:tc>
      </w:tr>
    </w:tbl>
    <w:p>
      <w:pPr>
        <w:spacing w:after="120"/>
      </w:pPr>
      <w:r>
        <w:t xml:space="preserve"/>
      </w:r>
    </w:p>
    <w:p>
      <w:pPr>
        <w:spacing w:after="120" w:before="0" w:line="300"/>
      </w:pPr>
      <w:r>
        <w:t xml:space="preserve">Hypothèse : 45 semaines actives par an (4 semaines de congés + 3 semaines fériés/maladie/formations). On reviendra sur ces volumes dans la simulation chiffrée.</w:t>
      </w:r>
    </w:p>
    <w:p>
      <w:pPr>
        <w:pStyle w:val="Heading2"/>
        <w:spacing w:after="160" w:before="280"/>
      </w:pPr>
      <w:r>
        <w:t xml:space="preserve">6.3 Logiciel kiné (libre choix INAMI homologué)</w:t>
      </w:r>
    </w:p>
    <w:p>
      <w:pPr>
        <w:spacing w:after="120" w:before="0" w:line="300"/>
      </w:pPr>
      <w:r>
        <w:t xml:space="preserve">Tu choisis librement parmi les 7 logiciels homologués INAMI 2026 (Crossuite, Fysionotes, Kin&amp;, KineQuick, KinPlus, Oxygen, CareConnect Physiotherapist). Plusieurs collègues au cabinet utilisent Crossuite — tu peux t'aligner ou choisir autre chose selon ta préférence. Ce que tu auras à faire :</w:t>
      </w:r>
    </w:p>
    <w:p>
      <w:pPr>
        <w:pStyle w:val="ListParagraph"/>
        <w:numPr>
          <w:ilvl w:val="0"/>
          <w:numId w:val="2"/>
        </w:numPr>
        <w:spacing w:after="80" w:line="300"/>
      </w:pPr>
      <w:r>
        <w:t xml:space="preserve">Créer ton profil praticien dans l'environnement Praxis Loten.</w:t>
      </w:r>
    </w:p>
    <w:p>
      <w:pPr>
        <w:pStyle w:val="ListParagraph"/>
        <w:numPr>
          <w:ilvl w:val="0"/>
          <w:numId w:val="2"/>
        </w:numPr>
        <w:spacing w:after="80" w:line="300"/>
      </w:pPr>
      <w:r>
        <w:t xml:space="preserve">Définir tes plages horaires de disponibilité.</w:t>
      </w:r>
    </w:p>
    <w:p>
      <w:pPr>
        <w:pStyle w:val="ListParagraph"/>
        <w:numPr>
          <w:ilvl w:val="0"/>
          <w:numId w:val="2"/>
        </w:numPr>
        <w:spacing w:after="80" w:line="300"/>
      </w:pPr>
      <w:r>
        <w:t xml:space="preserve">Configurer les types de séances (bilan vestibulaire 60 min, suivi 30 ou 45 min).</w:t>
      </w:r>
    </w:p>
    <w:p>
      <w:pPr>
        <w:pStyle w:val="ListParagraph"/>
        <w:numPr>
          <w:ilvl w:val="0"/>
          <w:numId w:val="2"/>
        </w:numPr>
        <w:spacing w:after="80" w:line="300"/>
      </w:pPr>
      <w:r>
        <w:t xml:space="preserve">Tester l'intégration MyCareNet pour les attestations électroniques.</w:t>
      </w:r>
    </w:p>
    <w:p>
      <w:pPr>
        <w:spacing w:after="120" w:before="0" w:line="300"/>
      </w:pPr>
      <w:r>
        <w:t xml:space="preserve">Formation initiale rapide (½ journée). Loïc ou Tom pourront te transmettre les bonnes pratiques internes.</w:t>
      </w:r>
    </w:p>
    <w:p>
      <w:pPr>
        <w:pStyle w:val="Heading2"/>
        <w:spacing w:after="160" w:before="280"/>
      </w:pPr>
      <w:r>
        <w:t xml:space="preserve">6.4 Intégration équipe</w:t>
      </w:r>
    </w:p>
    <w:p>
      <w:pPr>
        <w:spacing w:after="120" w:before="0" w:line="300"/>
      </w:pPr>
      <w:r>
        <w:t xml:space="preserve">Les avantages d'intégrer une équipe déjà rodée :</w:t>
      </w:r>
    </w:p>
    <w:p>
      <w:pPr>
        <w:pStyle w:val="ListParagraph"/>
        <w:numPr>
          <w:ilvl w:val="0"/>
          <w:numId w:val="2"/>
        </w:numPr>
        <w:spacing w:after="80" w:line="300"/>
      </w:pPr>
      <w:r>
        <w:t xml:space="preserve">Cross-référencement clinique : si un patient lombalgique chez moi développe un vertige, il atterrit naturellement chez toi. Et inversement, ta clientèle vestibulaire qui présente comorbidités cervicales bénéficie de l'équipe en place.</w:t>
      </w:r>
    </w:p>
    <w:p>
      <w:pPr>
        <w:pStyle w:val="ListParagraph"/>
        <w:numPr>
          <w:ilvl w:val="0"/>
          <w:numId w:val="2"/>
        </w:numPr>
        <w:spacing w:after="80" w:line="300"/>
      </w:pPr>
      <w:r>
        <w:t xml:space="preserve">Gestion partagée des absences : congés couverts par les autres collaborateurs (selon disponibilités).</w:t>
      </w:r>
    </w:p>
    <w:p>
      <w:pPr>
        <w:pStyle w:val="ListParagraph"/>
        <w:numPr>
          <w:ilvl w:val="0"/>
          <w:numId w:val="2"/>
        </w:numPr>
        <w:spacing w:after="80" w:line="300"/>
      </w:pPr>
      <w:r>
        <w:t xml:space="preserve">Identité de marque Praxis Loten — référencement Google, site bilingue, blog (philippe-banaszak, felix-esser, fabienne-dormann, thom-petit, loic-meunier).</w:t>
      </w:r>
    </w:p>
    <w:p>
      <w:pPr>
        <w:pStyle w:val="ListParagraph"/>
        <w:numPr>
          <w:ilvl w:val="0"/>
          <w:numId w:val="2"/>
        </w:numPr>
        <w:spacing w:after="80" w:line="300"/>
      </w:pPr>
      <w:r>
        <w:t xml:space="preserve">Pas d'isolement professionnel : le cabinet a une dynamique d'échanges cliniques que tu retrouveras moins à l'hôpital où la dimension EBP active reste limitée.</w:t>
      </w:r>
    </w:p>
    <w:p>
      <w:r>
        <w:br w:type="page"/>
      </w:r>
    </w:p>
    <w:p>
      <w:pPr>
        <w:pStyle w:val="Heading1"/>
        <w:spacing w:after="200" w:before="360"/>
      </w:pPr>
      <w:r>
        <w:t xml:space="preserve">7. Matériel pour la kinésithérapie vestibulaire</w:t>
      </w:r>
    </w:p>
    <w:p>
      <w:pPr>
        <w:spacing w:after="120" w:before="0" w:line="300"/>
      </w:pPr>
      <w:r>
        <w:t xml:space="preserve">C'est ici que ton positionnement de spécialiste se traduit concrètement en investissement. La kiné vestibulaire moderne se pratique avec un plateau technique spécifique — c'est ce qui justifie le différentiel d'honoraires (et le déconventionnement si tu choisis cette voie). Ci-dessous, trois packs progressifs, du minimum vital au plateau premium.</w:t>
      </w:r>
    </w:p>
    <w:p>
      <w:pPr>
        <w:pStyle w:val="Heading2"/>
        <w:spacing w:after="160" w:before="280"/>
      </w:pPr>
      <w:r>
        <w:t xml:space="preserve">7.1 Inventaire du matériel par catégorie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200"/>
        <w:gridCol w:w="1410"/>
        <w:gridCol w:w="1410"/>
      </w:tblGrid>
      <w:tr>
        <w:trPr>
          <w:tblHeader/>
        </w:trPr>
        <w:tc>
          <w:tcPr>
            <w:tcW w:type="dxa" w:w="234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pPr>
            <w:r>
              <w:rPr>
                <w:b/>
                <w:bCs/>
                <w:color w:val="FFFFFF"/>
                <w:sz w:val="22"/>
                <w:szCs w:val="22"/>
              </w:rPr>
              <w:t xml:space="preserve">Équipement</w:t>
            </w:r>
          </w:p>
        </w:tc>
        <w:tc>
          <w:tcPr>
            <w:tcW w:type="dxa" w:w="420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pPr>
            <w:r>
              <w:rPr>
                <w:b/>
                <w:bCs/>
                <w:color w:val="FFFFFF"/>
                <w:sz w:val="22"/>
                <w:szCs w:val="22"/>
              </w:rPr>
              <w:t xml:space="preserve">Fonction clinique</w:t>
            </w:r>
          </w:p>
        </w:tc>
        <w:tc>
          <w:tcPr>
            <w:tcW w:type="dxa" w:w="141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center"/>
            </w:pPr>
            <w:r>
              <w:rPr>
                <w:b/>
                <w:bCs/>
                <w:color w:val="FFFFFF"/>
                <w:sz w:val="22"/>
                <w:szCs w:val="22"/>
              </w:rPr>
              <w:t xml:space="preserve">Prix HT 2026</w:t>
            </w:r>
          </w:p>
        </w:tc>
        <w:tc>
          <w:tcPr>
            <w:tcW w:type="dxa" w:w="141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center"/>
            </w:pPr>
            <w:r>
              <w:rPr>
                <w:b/>
                <w:bCs/>
                <w:color w:val="FFFFFF"/>
                <w:sz w:val="22"/>
                <w:szCs w:val="22"/>
              </w:rPr>
              <w:t xml:space="preserve">Amortissement</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Lunettes de vidéonystagmoscopie (VNS) sans fil</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Cœur du diagnostic vestibulaire. Visualisation infrarouge des nystagmus, manœuvres de Dix-Hallpike, head-shaking, tests positionnels. Essentiel non négociable.</w:t>
            </w:r>
          </w:p>
        </w:tc>
        <w:tc>
          <w:tcPr>
            <w:tcW w:type="dxa" w:w="14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b/>
                <w:bCs/>
                <w:sz w:val="22"/>
                <w:szCs w:val="22"/>
              </w:rPr>
              <w:t xml:space="preserve">2 500 – 5 000 €</w:t>
            </w:r>
          </w:p>
        </w:tc>
        <w:tc>
          <w:tcPr>
            <w:tcW w:type="dxa" w:w="14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5 ans (20 %/an)</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Module VNG kiné (lunettes + logiciel d'analyse)</w:t>
            </w:r>
          </w:p>
        </w:tc>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Quantification automatisée des nystagmus, mesure de gain VOR, optocinétique. Plus précis qu'une VNS simple, indispensable pour suivi quantitatif. Synapsys NysStar, Framiral, Difra.</w:t>
            </w:r>
          </w:p>
        </w:tc>
        <w:tc>
          <w:tcPr>
            <w:tcW w:type="dxa" w:w="141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b/>
                <w:bCs/>
                <w:sz w:val="22"/>
                <w:szCs w:val="22"/>
              </w:rPr>
              <w:t xml:space="preserve">6 000 – 12 000 €</w:t>
            </w:r>
          </w:p>
        </w:tc>
        <w:tc>
          <w:tcPr>
            <w:tcW w:type="dxa" w:w="141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5 ans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Fauteuil rotatoire manuel (TKM, Framiral)</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Travail du réflexe vestibulo-oculaire (VOR). Bilans rotatoires impulsionnels (ERI Sémont-Vitte). Réadaptation des asymétries vestibulaires.</w:t>
            </w:r>
          </w:p>
        </w:tc>
        <w:tc>
          <w:tcPr>
            <w:tcW w:type="dxa" w:w="14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b/>
                <w:bCs/>
                <w:sz w:val="22"/>
                <w:szCs w:val="22"/>
              </w:rPr>
              <w:t xml:space="preserve">4 000 – 8 000 €</w:t>
            </w:r>
          </w:p>
        </w:tc>
        <w:tc>
          <w:tcPr>
            <w:tcW w:type="dxa" w:w="14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10 ans</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Fauteuil rotatoire motorisé/informatisé</w:t>
            </w:r>
          </w:p>
        </w:tc>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Version supérieure avec logiciel de pilotage, profils de vitesse programmables. Plus reproductible. Niveau labo vestibulaire.</w:t>
            </w:r>
          </w:p>
        </w:tc>
        <w:tc>
          <w:tcPr>
            <w:tcW w:type="dxa" w:w="141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b/>
                <w:bCs/>
                <w:sz w:val="22"/>
                <w:szCs w:val="22"/>
              </w:rPr>
              <w:t xml:space="preserve">12 000 – 20 000 €</w:t>
            </w:r>
          </w:p>
        </w:tc>
        <w:tc>
          <w:tcPr>
            <w:tcW w:type="dxa" w:w="141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10 ans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Casque VR Virtualis (BalanceVR / PhysioVR)</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Stimulation visuelle immersive : optocinétique 360°, conflits sensoriels, AVD (acuité visuelle dynamique), exercices ludifiés. Différenciateur fort.</w:t>
            </w:r>
          </w:p>
        </w:tc>
        <w:tc>
          <w:tcPr>
            <w:tcW w:type="dxa" w:w="14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b/>
                <w:bCs/>
                <w:sz w:val="22"/>
                <w:szCs w:val="22"/>
              </w:rPr>
              <w:t xml:space="preserve">8 000 – 15 000 €</w:t>
            </w:r>
          </w:p>
        </w:tc>
        <w:tc>
          <w:tcPr>
            <w:tcW w:type="dxa" w:w="14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3–5 ans</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Plateforme posturographique</w:t>
            </w:r>
          </w:p>
        </w:tc>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Évaluation quantitative de l'équilibre statique (et dynamique pour modèles avancés). Posturographie computérisée. Suivi objectif.</w:t>
            </w:r>
          </w:p>
        </w:tc>
        <w:tc>
          <w:tcPr>
            <w:tcW w:type="dxa" w:w="141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b/>
                <w:bCs/>
                <w:sz w:val="22"/>
                <w:szCs w:val="22"/>
              </w:rPr>
              <w:t xml:space="preserve">8 000 – 25 000 €</w:t>
            </w:r>
          </w:p>
        </w:tc>
        <w:tc>
          <w:tcPr>
            <w:tcW w:type="dxa" w:w="141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10 ans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Boule optocinétique</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Stimulation visuelle classique en pièce sombre. Concurrencée par la VR, mais utile en double exposition. Devient optionnel si tu as un casque VR.</w:t>
            </w:r>
          </w:p>
        </w:tc>
        <w:tc>
          <w:tcPr>
            <w:tcW w:type="dxa" w:w="14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b/>
                <w:bCs/>
                <w:sz w:val="22"/>
                <w:szCs w:val="22"/>
              </w:rPr>
              <w:t xml:space="preserve">1 500 – 3 500 €</w:t>
            </w:r>
          </w:p>
        </w:tc>
        <w:tc>
          <w:tcPr>
            <w:tcW w:type="dxa" w:w="14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10 ans</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Barre d'oculomotricité</w:t>
            </w:r>
          </w:p>
        </w:tc>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Travail des saccades, poursuite lente, coordination œil-tête. Peut être improvisée à faible coût ou achetée à fonction programmable.</w:t>
            </w:r>
          </w:p>
        </w:tc>
        <w:tc>
          <w:tcPr>
            <w:tcW w:type="dxa" w:w="141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b/>
                <w:bCs/>
                <w:sz w:val="22"/>
                <w:szCs w:val="22"/>
              </w:rPr>
              <w:t xml:space="preserve">400 – 3 000 €</w:t>
            </w:r>
          </w:p>
        </w:tc>
        <w:tc>
          <w:tcPr>
            <w:tcW w:type="dxa" w:w="141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5 ans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Mousses, plateaux instables, plots, parcours</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Rééducation proprioceptive et posturale : surfaces instables, marche aveugle, parcours en double tâche.</w:t>
            </w:r>
          </w:p>
        </w:tc>
        <w:tc>
          <w:tcPr>
            <w:tcW w:type="dxa" w:w="14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b/>
                <w:bCs/>
                <w:sz w:val="22"/>
                <w:szCs w:val="22"/>
              </w:rPr>
              <w:t xml:space="preserve">400 – 1 200 €</w:t>
            </w:r>
          </w:p>
        </w:tc>
        <w:tc>
          <w:tcPr>
            <w:tcW w:type="dxa" w:w="14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Direct ou 3 ans</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Table d'examen électrique (manœuvres libératrices)</w:t>
            </w:r>
          </w:p>
        </w:tc>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Indispensable pour les manœuvres d'Epley, Sémont, Lempert (rotation 360° du corps en VPPB du canal horizontal). Inclinaisons rapides en sécurité.</w:t>
            </w:r>
          </w:p>
        </w:tc>
        <w:tc>
          <w:tcPr>
            <w:tcW w:type="dxa" w:w="141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b/>
                <w:bCs/>
                <w:sz w:val="22"/>
                <w:szCs w:val="22"/>
              </w:rPr>
              <w:t xml:space="preserve">1 500 – 3 500 €</w:t>
            </w:r>
          </w:p>
        </w:tc>
        <w:tc>
          <w:tcPr>
            <w:tcW w:type="dxa" w:w="141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10 ans</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500" w:sz="4"/>
              <w:left w:val="single" w:color="B26500" w:sz="32"/>
              <w:bottom w:val="single" w:color="B26500" w:sz="4"/>
              <w:right w:val="single" w:color="B26500" w:sz="4"/>
            </w:tcBorders>
            <w:shd w:fill="FFF4E0" w:val="clear"/>
            <w:tcMar>
              <w:top w:type="dxa" w:w="200"/>
              <w:left w:type="dxa" w:w="260"/>
              <w:bottom w:type="dxa" w:w="200"/>
              <w:right w:type="dxa" w:w="220"/>
            </w:tcMar>
          </w:tcPr>
          <w:p>
            <w:pPr>
              <w:spacing w:after="80"/>
            </w:pPr>
            <w:r>
              <w:rPr>
                <w:b/>
                <w:bCs/>
                <w:color w:val="B26500"/>
                <w:sz w:val="22"/>
                <w:szCs w:val="22"/>
              </w:rPr>
              <w:t xml:space="preserve">Sources des prix</w:t>
            </w:r>
          </w:p>
          <w:p>
            <w:pPr>
              <w:spacing w:after="60" w:line="280"/>
            </w:pPr>
            <w:r>
              <w:rPr>
                <w:color w:val="0D1120"/>
                <w:sz w:val="21"/>
                <w:szCs w:val="21"/>
              </w:rPr>
              <w:t xml:space="preserve">Prix indicatifs basés sur les catalogues belges et français au printemps 2026 (Proxymed Belgique, Rehamat Store, Amplifon Pro, Virtualis VR, Framiral, Synapsys). Demander des devis personnalisés avant achat — les écarts peuvent être de 20 à 30 % selon les options.</w:t>
            </w:r>
          </w:p>
          <w:p>
            <w:pPr>
              <w:spacing w:after="60" w:line="280"/>
            </w:pPr>
            <w:r>
              <w:rPr>
                <w:color w:val="0D1120"/>
                <w:sz w:val="21"/>
                <w:szCs w:val="21"/>
              </w:rPr>
              <w:t xml:space="preserve">Prix HT (hors TVA 21 %). En kiné, la TVA n'est pas récupérable (soins exonérés art. 44 §1, 1°), donc raisonner directement en TTC pour le calcul de trésorerie.</w:t>
            </w:r>
          </w:p>
        </w:tc>
      </w:tr>
    </w:tbl>
    <w:p>
      <w:pPr>
        <w:spacing w:after="120"/>
      </w:pPr>
      <w:r>
        <w:t xml:space="preserve"/>
      </w:r>
    </w:p>
    <w:p>
      <w:pPr>
        <w:pStyle w:val="Heading2"/>
        <w:spacing w:after="160" w:before="280"/>
      </w:pPr>
      <w:r>
        <w:t xml:space="preserve">7.2 Trois scénarios d'équipement</w:t>
      </w:r>
    </w:p>
    <w:p>
      <w:pPr>
        <w:pStyle w:val="Heading3"/>
        <w:spacing w:after="120" w:before="200"/>
      </w:pPr>
      <w:r>
        <w:t xml:space="preserve">Scénario A — Pack pragmatique de démarrage (essentiels)</w:t>
      </w:r>
    </w:p>
    <w:p>
      <w:pPr>
        <w:spacing w:after="120" w:before="0" w:line="300"/>
      </w:pPr>
      <w:r>
        <w:t xml:space="preserve">Le strict nécessaire pour démarrer une activité vestibulaire crédible. Optimal pour une montée en charge sur 6-12 mois sans surcapitalisation.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1950"/>
        <w:gridCol w:w="1950"/>
      </w:tblGrid>
      <w:tr>
        <w:trPr>
          <w:tblHeader/>
        </w:trPr>
        <w:tc>
          <w:tcPr>
            <w:tcW w:type="dxa" w:w="5460"/>
            <w:tcBorders>
              <w:top w:val="single" w:color="BFBFBF" w:sz="4"/>
              <w:left w:val="single" w:color="BFBFBF" w:sz="4"/>
              <w:bottom w:val="single" w:color="BFBFBF" w:sz="4"/>
              <w:right w:val="single" w:color="BFBFBF" w:sz="4"/>
            </w:tcBorders>
            <w:shd w:fill="76B82A" w:val="clear"/>
            <w:tcMar>
              <w:top w:type="dxa" w:w="100"/>
              <w:left w:type="dxa" w:w="140"/>
              <w:bottom w:type="dxa" w:w="100"/>
              <w:right w:type="dxa" w:w="140"/>
            </w:tcMar>
            <w:vAlign w:val="center"/>
          </w:tcPr>
          <w:p>
            <w:pPr>
              <w:spacing w:after="0" w:line="280"/>
            </w:pPr>
            <w:r>
              <w:rPr>
                <w:b/>
                <w:bCs/>
                <w:color w:val="FFFFFF"/>
                <w:sz w:val="22"/>
                <w:szCs w:val="22"/>
              </w:rPr>
              <w:t xml:space="preserve">Équipement</w:t>
            </w:r>
          </w:p>
        </w:tc>
        <w:tc>
          <w:tcPr>
            <w:tcW w:type="dxa" w:w="1950"/>
            <w:tcBorders>
              <w:top w:val="single" w:color="BFBFBF" w:sz="4"/>
              <w:left w:val="single" w:color="BFBFBF" w:sz="4"/>
              <w:bottom w:val="single" w:color="BFBFBF" w:sz="4"/>
              <w:right w:val="single" w:color="BFBFBF" w:sz="4"/>
            </w:tcBorders>
            <w:shd w:fill="76B82A" w:val="clear"/>
            <w:tcMar>
              <w:top w:type="dxa" w:w="100"/>
              <w:left w:type="dxa" w:w="140"/>
              <w:bottom w:type="dxa" w:w="100"/>
              <w:right w:type="dxa" w:w="140"/>
            </w:tcMar>
            <w:vAlign w:val="center"/>
          </w:tcPr>
          <w:p>
            <w:pPr>
              <w:spacing w:after="0" w:line="280"/>
              <w:jc w:val="center"/>
            </w:pPr>
            <w:r>
              <w:rPr>
                <w:b/>
                <w:bCs/>
                <w:color w:val="FFFFFF"/>
                <w:sz w:val="22"/>
                <w:szCs w:val="22"/>
              </w:rPr>
              <w:t xml:space="preserve">Prix TTC</w:t>
            </w:r>
          </w:p>
        </w:tc>
        <w:tc>
          <w:tcPr>
            <w:tcW w:type="dxa" w:w="1950"/>
            <w:tcBorders>
              <w:top w:val="single" w:color="BFBFBF" w:sz="4"/>
              <w:left w:val="single" w:color="BFBFBF" w:sz="4"/>
              <w:bottom w:val="single" w:color="BFBFBF" w:sz="4"/>
              <w:right w:val="single" w:color="BFBFBF" w:sz="4"/>
            </w:tcBorders>
            <w:shd w:fill="76B82A" w:val="clear"/>
            <w:tcMar>
              <w:top w:type="dxa" w:w="100"/>
              <w:left w:type="dxa" w:w="140"/>
              <w:bottom w:type="dxa" w:w="100"/>
              <w:right w:type="dxa" w:w="140"/>
            </w:tcMar>
            <w:vAlign w:val="center"/>
          </w:tcPr>
          <w:p>
            <w:pPr>
              <w:spacing w:after="0" w:line="280"/>
              <w:jc w:val="center"/>
            </w:pPr>
            <w:r>
              <w:rPr>
                <w:b/>
                <w:bCs/>
                <w:color w:val="FFFFFF"/>
                <w:sz w:val="22"/>
                <w:szCs w:val="22"/>
              </w:rPr>
              <w:t xml:space="preserve">Amort. annuel</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Lunettes VNS sans fil (entrée de gamme)</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3 500 €</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700 €</w:t>
            </w:r>
          </w:p>
        </w:tc>
      </w:tr>
      <w:tr>
        <w:tc>
          <w:tcPr>
            <w:tcW w:type="dxa" w:w="5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Fauteuil rotatoire manuel TKM</w:t>
            </w:r>
          </w:p>
        </w:tc>
        <w:tc>
          <w:tcPr>
            <w:tcW w:type="dxa" w:w="195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5 500 €</w:t>
            </w:r>
          </w:p>
        </w:tc>
        <w:tc>
          <w:tcPr>
            <w:tcW w:type="dxa" w:w="195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550 €</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Table examen électrique (manœuvres libératrices)</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2 500 €</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250 €</w:t>
            </w:r>
          </w:p>
        </w:tc>
      </w:tr>
      <w:tr>
        <w:tc>
          <w:tcPr>
            <w:tcW w:type="dxa" w:w="5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Mousses, plateaux instables, plots, matériel proprioception</w:t>
            </w:r>
          </w:p>
        </w:tc>
        <w:tc>
          <w:tcPr>
            <w:tcW w:type="dxa" w:w="195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800 €</w:t>
            </w:r>
          </w:p>
        </w:tc>
        <w:tc>
          <w:tcPr>
            <w:tcW w:type="dxa" w:w="195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265 €</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Barre d'oculomotricité simple</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1 200 €</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240 €</w:t>
            </w:r>
          </w:p>
        </w:tc>
      </w:tr>
      <w:tr>
        <w:tc>
          <w:tcPr>
            <w:tcW w:type="dxa" w:w="5460"/>
            <w:tcBorders>
              <w:top w:val="single" w:color="BFBFBF" w:sz="4"/>
              <w:left w:val="single" w:color="BFBFBF" w:sz="4"/>
              <w:bottom w:val="single" w:color="BFBFBF" w:sz="4"/>
              <w:right w:val="single" w:color="BFBFBF" w:sz="4"/>
            </w:tcBorders>
            <w:shd w:fill="76B82A" w:val="clear"/>
            <w:tcMar>
              <w:top w:type="dxa" w:w="100"/>
              <w:left w:type="dxa" w:w="140"/>
              <w:bottom w:type="dxa" w:w="100"/>
              <w:right w:type="dxa" w:w="140"/>
            </w:tcMar>
            <w:vAlign w:val="center"/>
          </w:tcPr>
          <w:p>
            <w:pPr>
              <w:spacing w:after="0" w:line="280"/>
            </w:pPr>
            <w:r>
              <w:rPr>
                <w:b/>
                <w:bCs/>
                <w:color w:val="FFFFFF"/>
                <w:sz w:val="22"/>
                <w:szCs w:val="22"/>
              </w:rPr>
              <w:t xml:space="preserve">TOTAL Pack A</w:t>
            </w:r>
          </w:p>
        </w:tc>
        <w:tc>
          <w:tcPr>
            <w:tcW w:type="dxa" w:w="1950"/>
            <w:tcBorders>
              <w:top w:val="single" w:color="BFBFBF" w:sz="4"/>
              <w:left w:val="single" w:color="BFBFBF" w:sz="4"/>
              <w:bottom w:val="single" w:color="BFBFBF" w:sz="4"/>
              <w:right w:val="single" w:color="BFBFBF" w:sz="4"/>
            </w:tcBorders>
            <w:shd w:fill="76B82A" w:val="clear"/>
            <w:tcMar>
              <w:top w:type="dxa" w:w="100"/>
              <w:left w:type="dxa" w:w="140"/>
              <w:bottom w:type="dxa" w:w="100"/>
              <w:right w:type="dxa" w:w="140"/>
            </w:tcMar>
            <w:vAlign w:val="center"/>
          </w:tcPr>
          <w:p>
            <w:pPr>
              <w:spacing w:after="0" w:line="280"/>
              <w:jc w:val="center"/>
            </w:pPr>
            <w:r>
              <w:rPr>
                <w:b/>
                <w:bCs/>
                <w:color w:val="FFFFFF"/>
                <w:sz w:val="22"/>
                <w:szCs w:val="22"/>
              </w:rPr>
              <w:t xml:space="preserve">13 500 €</w:t>
            </w:r>
          </w:p>
        </w:tc>
        <w:tc>
          <w:tcPr>
            <w:tcW w:type="dxa" w:w="1950"/>
            <w:tcBorders>
              <w:top w:val="single" w:color="BFBFBF" w:sz="4"/>
              <w:left w:val="single" w:color="BFBFBF" w:sz="4"/>
              <w:bottom w:val="single" w:color="BFBFBF" w:sz="4"/>
              <w:right w:val="single" w:color="BFBFBF" w:sz="4"/>
            </w:tcBorders>
            <w:shd w:fill="76B82A" w:val="clear"/>
            <w:tcMar>
              <w:top w:type="dxa" w:w="100"/>
              <w:left w:type="dxa" w:w="140"/>
              <w:bottom w:type="dxa" w:w="100"/>
              <w:right w:type="dxa" w:w="140"/>
            </w:tcMar>
            <w:vAlign w:val="center"/>
          </w:tcPr>
          <w:p>
            <w:pPr>
              <w:spacing w:after="0" w:line="280"/>
              <w:jc w:val="center"/>
            </w:pPr>
            <w:r>
              <w:rPr>
                <w:b/>
                <w:bCs/>
                <w:color w:val="FFFFFF"/>
                <w:sz w:val="22"/>
                <w:szCs w:val="22"/>
              </w:rPr>
              <w:t xml:space="preserve">≈ 2 005 €/an</w:t>
            </w:r>
          </w:p>
        </w:tc>
      </w:tr>
    </w:tbl>
    <w:p>
      <w:pPr>
        <w:spacing w:after="120"/>
      </w:pPr>
      <w:r>
        <w:t xml:space="preserve"/>
      </w:r>
    </w:p>
    <w:p>
      <w:pPr>
        <w:pStyle w:val="Heading3"/>
        <w:spacing w:after="120" w:before="200"/>
      </w:pPr>
      <w:r>
        <w:t xml:space="preserve">Scénario B — Pack intermédiaire (recommandé)</w:t>
      </w:r>
    </w:p>
    <w:p>
      <w:pPr>
        <w:spacing w:after="120" w:before="0" w:line="300"/>
      </w:pPr>
      <w:r>
        <w:t xml:space="preserve">Ajoute la dimension VR + module VNG d'analyse. Plateau plus complet, fortement différenciant à Eupen où peu de cabinets ont la VR vestibulaire. Permet justification crédible d'un déconventionnement avec supplément raisonnable (8 à 12 € par séance).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1950"/>
        <w:gridCol w:w="1950"/>
      </w:tblGrid>
      <w:tr>
        <w:trPr>
          <w:tblHeader/>
        </w:trPr>
        <w:tc>
          <w:tcPr>
            <w:tcW w:type="dxa" w:w="546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pPr>
            <w:r>
              <w:rPr>
                <w:b/>
                <w:bCs/>
                <w:color w:val="FFFFFF"/>
                <w:sz w:val="22"/>
                <w:szCs w:val="22"/>
              </w:rPr>
              <w:t xml:space="preserve">Équipement</w:t>
            </w:r>
          </w:p>
        </w:tc>
        <w:tc>
          <w:tcPr>
            <w:tcW w:type="dxa" w:w="195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center"/>
            </w:pPr>
            <w:r>
              <w:rPr>
                <w:b/>
                <w:bCs/>
                <w:color w:val="FFFFFF"/>
                <w:sz w:val="22"/>
                <w:szCs w:val="22"/>
              </w:rPr>
              <w:t xml:space="preserve">Prix TTC</w:t>
            </w:r>
          </w:p>
        </w:tc>
        <w:tc>
          <w:tcPr>
            <w:tcW w:type="dxa" w:w="195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center"/>
            </w:pPr>
            <w:r>
              <w:rPr>
                <w:b/>
                <w:bCs/>
                <w:color w:val="FFFFFF"/>
                <w:sz w:val="22"/>
                <w:szCs w:val="22"/>
              </w:rPr>
              <w:t xml:space="preserve">Amort. annuel</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Pack A complet</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13 500 €</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2 005 €</w:t>
            </w:r>
          </w:p>
        </w:tc>
      </w:tr>
      <w:tr>
        <w:tc>
          <w:tcPr>
            <w:tcW w:type="dxa" w:w="5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Module VNG kiné (lunettes + logiciel d'analyse)</w:t>
            </w:r>
          </w:p>
        </w:tc>
        <w:tc>
          <w:tcPr>
            <w:tcW w:type="dxa" w:w="195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8 000 €</w:t>
            </w:r>
          </w:p>
        </w:tc>
        <w:tc>
          <w:tcPr>
            <w:tcW w:type="dxa" w:w="195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1 600 €</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Casque VR Virtualis BalanceVR (pack vestibulaire)</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10 000 €</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2 500 €</w:t>
            </w:r>
          </w:p>
        </w:tc>
      </w:tr>
      <w:tr>
        <w:tc>
          <w:tcPr>
            <w:tcW w:type="dxa" w:w="546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pPr>
            <w:r>
              <w:rPr>
                <w:b/>
                <w:bCs/>
                <w:color w:val="FFFFFF"/>
                <w:sz w:val="22"/>
                <w:szCs w:val="22"/>
              </w:rPr>
              <w:t xml:space="preserve">TOTAL Pack B</w:t>
            </w:r>
          </w:p>
        </w:tc>
        <w:tc>
          <w:tcPr>
            <w:tcW w:type="dxa" w:w="195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center"/>
            </w:pPr>
            <w:r>
              <w:rPr>
                <w:b/>
                <w:bCs/>
                <w:color w:val="FFFFFF"/>
                <w:sz w:val="22"/>
                <w:szCs w:val="22"/>
              </w:rPr>
              <w:t xml:space="preserve">31 500 €</w:t>
            </w:r>
          </w:p>
        </w:tc>
        <w:tc>
          <w:tcPr>
            <w:tcW w:type="dxa" w:w="195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center"/>
            </w:pPr>
            <w:r>
              <w:rPr>
                <w:b/>
                <w:bCs/>
                <w:color w:val="FFFFFF"/>
                <w:sz w:val="22"/>
                <w:szCs w:val="22"/>
              </w:rPr>
              <w:t xml:space="preserve">≈ 6 105 €/an</w:t>
            </w:r>
          </w:p>
        </w:tc>
      </w:tr>
    </w:tbl>
    <w:p>
      <w:pPr>
        <w:spacing w:after="120"/>
      </w:pPr>
      <w:r>
        <w:t xml:space="preserve"/>
      </w:r>
    </w:p>
    <w:p>
      <w:pPr>
        <w:pStyle w:val="Heading3"/>
        <w:spacing w:after="120" w:before="200"/>
      </w:pPr>
      <w:r>
        <w:t xml:space="preserve">Scénario C — Pack premium (laboratoire vestibulaire)</w:t>
      </w:r>
    </w:p>
    <w:p>
      <w:pPr>
        <w:spacing w:after="120" w:before="0" w:line="300"/>
      </w:pPr>
      <w:r>
        <w:t xml:space="preserve">Plateau labo. Pertinent uniquement si l'activité décolle vraiment et qu'on envisage un centre vestibulaire de référence sur Eupen / Verviers / DG. Trop de capital immobilisé pour un démarrage.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1950"/>
        <w:gridCol w:w="1950"/>
      </w:tblGrid>
      <w:tr>
        <w:trPr>
          <w:tblHeader/>
        </w:trPr>
        <w:tc>
          <w:tcPr>
            <w:tcW w:type="dxa" w:w="5460"/>
            <w:tcBorders>
              <w:top w:val="single" w:color="BFBFBF" w:sz="4"/>
              <w:left w:val="single" w:color="BFBFBF" w:sz="4"/>
              <w:bottom w:val="single" w:color="BFBFBF" w:sz="4"/>
              <w:right w:val="single" w:color="BFBFBF" w:sz="4"/>
            </w:tcBorders>
            <w:shd w:fill="B26500" w:val="clear"/>
            <w:tcMar>
              <w:top w:type="dxa" w:w="100"/>
              <w:left w:type="dxa" w:w="140"/>
              <w:bottom w:type="dxa" w:w="100"/>
              <w:right w:type="dxa" w:w="140"/>
            </w:tcMar>
            <w:vAlign w:val="center"/>
          </w:tcPr>
          <w:p>
            <w:pPr>
              <w:spacing w:after="0" w:line="280"/>
            </w:pPr>
            <w:r>
              <w:rPr>
                <w:b/>
                <w:bCs/>
                <w:color w:val="FFFFFF"/>
                <w:sz w:val="22"/>
                <w:szCs w:val="22"/>
              </w:rPr>
              <w:t xml:space="preserve">Équipement</w:t>
            </w:r>
          </w:p>
        </w:tc>
        <w:tc>
          <w:tcPr>
            <w:tcW w:type="dxa" w:w="1950"/>
            <w:tcBorders>
              <w:top w:val="single" w:color="BFBFBF" w:sz="4"/>
              <w:left w:val="single" w:color="BFBFBF" w:sz="4"/>
              <w:bottom w:val="single" w:color="BFBFBF" w:sz="4"/>
              <w:right w:val="single" w:color="BFBFBF" w:sz="4"/>
            </w:tcBorders>
            <w:shd w:fill="B26500" w:val="clear"/>
            <w:tcMar>
              <w:top w:type="dxa" w:w="100"/>
              <w:left w:type="dxa" w:w="140"/>
              <w:bottom w:type="dxa" w:w="100"/>
              <w:right w:type="dxa" w:w="140"/>
            </w:tcMar>
            <w:vAlign w:val="center"/>
          </w:tcPr>
          <w:p>
            <w:pPr>
              <w:spacing w:after="0" w:line="280"/>
              <w:jc w:val="center"/>
            </w:pPr>
            <w:r>
              <w:rPr>
                <w:b/>
                <w:bCs/>
                <w:color w:val="FFFFFF"/>
                <w:sz w:val="22"/>
                <w:szCs w:val="22"/>
              </w:rPr>
              <w:t xml:space="preserve">Prix TTC</w:t>
            </w:r>
          </w:p>
        </w:tc>
        <w:tc>
          <w:tcPr>
            <w:tcW w:type="dxa" w:w="1950"/>
            <w:tcBorders>
              <w:top w:val="single" w:color="BFBFBF" w:sz="4"/>
              <w:left w:val="single" w:color="BFBFBF" w:sz="4"/>
              <w:bottom w:val="single" w:color="BFBFBF" w:sz="4"/>
              <w:right w:val="single" w:color="BFBFBF" w:sz="4"/>
            </w:tcBorders>
            <w:shd w:fill="B26500" w:val="clear"/>
            <w:tcMar>
              <w:top w:type="dxa" w:w="100"/>
              <w:left w:type="dxa" w:w="140"/>
              <w:bottom w:type="dxa" w:w="100"/>
              <w:right w:type="dxa" w:w="140"/>
            </w:tcMar>
            <w:vAlign w:val="center"/>
          </w:tcPr>
          <w:p>
            <w:pPr>
              <w:spacing w:after="0" w:line="280"/>
              <w:jc w:val="center"/>
            </w:pPr>
            <w:r>
              <w:rPr>
                <w:b/>
                <w:bCs/>
                <w:color w:val="FFFFFF"/>
                <w:sz w:val="22"/>
                <w:szCs w:val="22"/>
              </w:rPr>
              <w:t xml:space="preserve">Amort. annuel</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Pack B complet</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31 500 €</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6 105 €</w:t>
            </w:r>
          </w:p>
        </w:tc>
      </w:tr>
      <w:tr>
        <w:tc>
          <w:tcPr>
            <w:tcW w:type="dxa" w:w="5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VNG avec vHIT intégré (haute gamme Natus/Synapsys)</w:t>
            </w:r>
          </w:p>
        </w:tc>
        <w:tc>
          <w:tcPr>
            <w:tcW w:type="dxa" w:w="195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15 000 €</w:t>
            </w:r>
          </w:p>
        </w:tc>
        <w:tc>
          <w:tcPr>
            <w:tcW w:type="dxa" w:w="195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3 000 €</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Fauteuil rotatoire motorisé Framiral</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18 000 €</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1 800 €</w:t>
            </w:r>
          </w:p>
        </w:tc>
      </w:tr>
      <w:tr>
        <w:tc>
          <w:tcPr>
            <w:tcW w:type="dxa" w:w="5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Plateforme posturographique dynamique</w:t>
            </w:r>
          </w:p>
        </w:tc>
        <w:tc>
          <w:tcPr>
            <w:tcW w:type="dxa" w:w="195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20 000 €</w:t>
            </w:r>
          </w:p>
        </w:tc>
        <w:tc>
          <w:tcPr>
            <w:tcW w:type="dxa" w:w="195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2 000 €</w:t>
            </w:r>
          </w:p>
        </w:tc>
      </w:tr>
      <w:tr>
        <w:tc>
          <w:tcPr>
            <w:tcW w:type="dxa" w:w="5460"/>
            <w:tcBorders>
              <w:top w:val="single" w:color="BFBFBF" w:sz="4"/>
              <w:left w:val="single" w:color="BFBFBF" w:sz="4"/>
              <w:bottom w:val="single" w:color="BFBFBF" w:sz="4"/>
              <w:right w:val="single" w:color="BFBFBF" w:sz="4"/>
            </w:tcBorders>
            <w:shd w:fill="B26500" w:val="clear"/>
            <w:tcMar>
              <w:top w:type="dxa" w:w="100"/>
              <w:left w:type="dxa" w:w="140"/>
              <w:bottom w:type="dxa" w:w="100"/>
              <w:right w:type="dxa" w:w="140"/>
            </w:tcMar>
            <w:vAlign w:val="center"/>
          </w:tcPr>
          <w:p>
            <w:pPr>
              <w:spacing w:after="0" w:line="280"/>
            </w:pPr>
            <w:r>
              <w:rPr>
                <w:b/>
                <w:bCs/>
                <w:color w:val="FFFFFF"/>
                <w:sz w:val="22"/>
                <w:szCs w:val="22"/>
              </w:rPr>
              <w:t xml:space="preserve">TOTAL Pack C</w:t>
            </w:r>
          </w:p>
        </w:tc>
        <w:tc>
          <w:tcPr>
            <w:tcW w:type="dxa" w:w="1950"/>
            <w:tcBorders>
              <w:top w:val="single" w:color="BFBFBF" w:sz="4"/>
              <w:left w:val="single" w:color="BFBFBF" w:sz="4"/>
              <w:bottom w:val="single" w:color="BFBFBF" w:sz="4"/>
              <w:right w:val="single" w:color="BFBFBF" w:sz="4"/>
            </w:tcBorders>
            <w:shd w:fill="B26500" w:val="clear"/>
            <w:tcMar>
              <w:top w:type="dxa" w:w="100"/>
              <w:left w:type="dxa" w:w="140"/>
              <w:bottom w:type="dxa" w:w="100"/>
              <w:right w:type="dxa" w:w="140"/>
            </w:tcMar>
            <w:vAlign w:val="center"/>
          </w:tcPr>
          <w:p>
            <w:pPr>
              <w:spacing w:after="0" w:line="280"/>
              <w:jc w:val="center"/>
            </w:pPr>
            <w:r>
              <w:rPr>
                <w:b/>
                <w:bCs/>
                <w:color w:val="FFFFFF"/>
                <w:sz w:val="22"/>
                <w:szCs w:val="22"/>
              </w:rPr>
              <w:t xml:space="preserve">84 500 €</w:t>
            </w:r>
          </w:p>
        </w:tc>
        <w:tc>
          <w:tcPr>
            <w:tcW w:type="dxa" w:w="1950"/>
            <w:tcBorders>
              <w:top w:val="single" w:color="BFBFBF" w:sz="4"/>
              <w:left w:val="single" w:color="BFBFBF" w:sz="4"/>
              <w:bottom w:val="single" w:color="BFBFBF" w:sz="4"/>
              <w:right w:val="single" w:color="BFBFBF" w:sz="4"/>
            </w:tcBorders>
            <w:shd w:fill="B26500" w:val="clear"/>
            <w:tcMar>
              <w:top w:type="dxa" w:w="100"/>
              <w:left w:type="dxa" w:w="140"/>
              <w:bottom w:type="dxa" w:w="100"/>
              <w:right w:type="dxa" w:w="140"/>
            </w:tcMar>
            <w:vAlign w:val="center"/>
          </w:tcPr>
          <w:p>
            <w:pPr>
              <w:spacing w:after="0" w:line="280"/>
              <w:jc w:val="center"/>
            </w:pPr>
            <w:r>
              <w:rPr>
                <w:b/>
                <w:bCs/>
                <w:color w:val="FFFFFF"/>
                <w:sz w:val="22"/>
                <w:szCs w:val="22"/>
              </w:rPr>
              <w:t xml:space="preserve">≈ 12 905 €/an</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6B82A" w:sz="4"/>
              <w:left w:val="single" w:color="76B82A" w:sz="32"/>
              <w:bottom w:val="single" w:color="76B82A" w:sz="4"/>
              <w:right w:val="single" w:color="76B82A" w:sz="4"/>
            </w:tcBorders>
            <w:shd w:fill="B2E258" w:val="clear"/>
            <w:tcMar>
              <w:top w:type="dxa" w:w="200"/>
              <w:left w:type="dxa" w:w="260"/>
              <w:bottom w:type="dxa" w:w="200"/>
              <w:right w:type="dxa" w:w="220"/>
            </w:tcMar>
          </w:tcPr>
          <w:p>
            <w:pPr>
              <w:spacing w:after="80"/>
            </w:pPr>
            <w:r>
              <w:rPr>
                <w:b/>
                <w:bCs/>
                <w:color w:val="76B82A"/>
                <w:sz w:val="22"/>
                <w:szCs w:val="22"/>
              </w:rPr>
              <w:t xml:space="preserve">Recommandation honnête sur le matériel</w:t>
            </w:r>
          </w:p>
          <w:p>
            <w:pPr>
              <w:spacing w:after="60" w:line="280"/>
            </w:pPr>
            <w:r>
              <w:rPr>
                <w:color w:val="0D1120"/>
                <w:sz w:val="21"/>
                <w:szCs w:val="21"/>
              </w:rPr>
              <w:t xml:space="preserve">Pack A (13 500 €) pour démarrer : tu peux pratiquer la kiné vestibulaire conforme aux standards avec ce minimum. Si tu démarres très progressivement (4 demi-journées/semaine), c'est suffisant pour ne pas surcapitaliser.</w:t>
            </w:r>
          </w:p>
          <w:p>
            <w:pPr>
              <w:spacing w:after="60" w:line="280"/>
            </w:pPr>
            <w:r>
              <w:rPr>
                <w:color w:val="0D1120"/>
                <w:sz w:val="21"/>
                <w:szCs w:val="21"/>
              </w:rPr>
              <w:t xml:space="preserve">Pack B (31 500 €) à viser à 6-12 mois : le casque VR et la VNG d'analyse sont les vrais différenciateurs. Justifient cliniquement et économiquement un supplément si tu choisis le déconventionnement.</w:t>
            </w:r>
          </w:p>
          <w:p>
            <w:pPr>
              <w:spacing w:after="60" w:line="280"/>
            </w:pPr>
            <w:r>
              <w:rPr>
                <w:color w:val="0D1120"/>
                <w:sz w:val="21"/>
                <w:szCs w:val="21"/>
              </w:rPr>
              <w:t xml:space="preserve">Pack C : à ne PAS envisager au démarrage. Décision à reporter à 3-5 ans après stabilisation, et uniquement si un projet de centre vestibulaire de référence se précise.</w:t>
            </w:r>
          </w:p>
          <w:p>
            <w:pPr>
              <w:spacing w:after="60" w:line="280"/>
            </w:pPr>
            <w:r>
              <w:rPr>
                <w:color w:val="0D1120"/>
                <w:sz w:val="21"/>
                <w:szCs w:val="21"/>
              </w:rPr>
              <w:t xml:space="preserve">Hybride malin : Pack A en achat propre + casque VR éventuellement loué/leasé en année 2 (Virtualis propose des formules locatives). Permet de tester l'usage avant achat ferme.</w:t>
            </w:r>
          </w:p>
        </w:tc>
      </w:tr>
    </w:tbl>
    <w:p>
      <w:r>
        <w:br w:type="page"/>
      </w:r>
    </w:p>
    <w:p>
      <w:pPr>
        <w:pStyle w:val="Heading1"/>
        <w:spacing w:after="200" w:before="360"/>
      </w:pPr>
      <w:r>
        <w:t xml:space="preserve">8. Simulation chiffrée : combien restera-t-il en net ?</w:t>
      </w:r>
    </w:p>
    <w:p>
      <w:pPr>
        <w:spacing w:after="120" w:before="0" w:line="300"/>
      </w:pPr>
      <w:r>
        <w:t xml:space="preserve">Cette section est le cœur opérationnel du rapport. On simule trois scénarios réalistes, en partant des honoraires INAMI 2026 indexés et de l'organisation du cabinet Praxis Loten.</w:t>
      </w:r>
    </w:p>
    <w:p>
      <w:pPr>
        <w:pStyle w:val="Heading2"/>
        <w:spacing w:after="160" w:before="280"/>
      </w:pPr>
      <w:r>
        <w:t xml:space="preserve">8.1 Hypothèses communes aux trois scénarios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pPr>
            <w:r>
              <w:rPr>
                <w:b/>
                <w:bCs/>
                <w:color w:val="FFFFFF"/>
                <w:sz w:val="22"/>
                <w:szCs w:val="22"/>
              </w:rPr>
              <w:t xml:space="preserve">Paramètre</w:t>
            </w:r>
          </w:p>
        </w:tc>
        <w:tc>
          <w:tcPr>
            <w:tcW w:type="dxa" w:w="624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pPr>
            <w:r>
              <w:rPr>
                <w:b/>
                <w:bCs/>
                <w:color w:val="FFFFFF"/>
                <w:sz w:val="22"/>
                <w:szCs w:val="22"/>
              </w:rPr>
              <w:t xml:space="preserve">Valeur retenue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Demi-journées au cabinet</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4 après-midi par semaine, sur 45 semaines actives = 180 après-midi/an.</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Volume de séances</w:t>
            </w:r>
          </w:p>
        </w:tc>
        <w:tc>
          <w:tcPr>
            <w:tcW w:type="dxa" w:w="62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8 séances en moyenne par après-midi (mix bilan 60 min + suivi 30–45 min) = 1 440 séances/an.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Honoraire de référence conventionné 2026</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Code M24 (séance courante au cabinet, 30 min) : ≈ 31,64 €. Pondéré sur la pratique réelle (mix M24 + Fa/Fb + bilans) : moyenne 32 €/séance.</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Salaire hôpital cumulé (75 % ETP)</w:t>
            </w:r>
          </w:p>
        </w:tc>
        <w:tc>
          <w:tcPr>
            <w:tcW w:type="dxa" w:w="62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Estimation ≈ 31 500 € de revenu net imposable annuel (à confirmer avec ta fiche fiscale 2025). Te place dans la tranche IPP 45 %.</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Rétrocession Praxis Loten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20 % du CA brut, plafonnée à 700 €/mois = 8 400 €/an. Au-delà, 100 % gardé.</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Charges fixes annuelles</w:t>
            </w:r>
          </w:p>
        </w:tc>
        <w:tc>
          <w:tcPr>
            <w:tcW w:type="dxa" w:w="62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Comptable 1 500 € + RC pro 800 € + formation continue 500 € + logiciel kiné ~480 € + frais divers 1 500 € = 4 780 €/an.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Matériel — base de calcul</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Pack B intermédiaire (Cf. section 7) : 31 500 € investis, amortis sur 5 ans ≈ 6 105 €/an.</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Taux IPP marginal moyen</w:t>
            </w:r>
          </w:p>
        </w:tc>
        <w:tc>
          <w:tcPr>
            <w:tcW w:type="dxa" w:w="62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 48 % (mix 45 % et 50 % selon montée en charge), + 7 % taxe communale Eupen = 51,4 % effectif sur le revenu indépendant.</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Cotisations INASTI</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20,5 % du revenu net imposable d'indépendant.</w:t>
            </w:r>
          </w:p>
        </w:tc>
      </w:tr>
    </w:tbl>
    <w:p>
      <w:pPr>
        <w:spacing w:after="120"/>
      </w:pPr>
      <w:r>
        <w:t xml:space="preserve"/>
      </w:r>
    </w:p>
    <w:p>
      <w:pPr>
        <w:pStyle w:val="Heading2"/>
        <w:spacing w:after="160" w:before="280"/>
      </w:pPr>
      <w:r>
        <w:t xml:space="preserve">8.2 Scénario 1 — Conventionnée intégrale</w:t>
      </w:r>
    </w:p>
    <w:p>
      <w:pPr>
        <w:spacing w:after="120" w:before="0" w:line="300"/>
      </w:pPr>
      <w:r>
        <w:t xml:space="preserve">Tu restes 100 % conventionnée. Honoraires INAMI stricts, pas de supplément. Approche solidaire et accessible, alignée sur les usages hospitaliers.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rPr>
          <w:tblHeader/>
        </w:trPr>
        <w:tc>
          <w:tcPr>
            <w:tcW w:type="dxa" w:w="546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pPr>
            <w:r>
              <w:rPr>
                <w:b/>
                <w:bCs/>
                <w:color w:val="FFFFFF"/>
                <w:sz w:val="22"/>
                <w:szCs w:val="22"/>
              </w:rPr>
              <w:t xml:space="preserve">Ligne</w:t>
            </w:r>
          </w:p>
        </w:tc>
        <w:tc>
          <w:tcPr>
            <w:tcW w:type="dxa" w:w="390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right"/>
            </w:pPr>
            <w:r>
              <w:rPr>
                <w:b/>
                <w:bCs/>
                <w:color w:val="FFFFFF"/>
                <w:sz w:val="22"/>
                <w:szCs w:val="22"/>
              </w:rPr>
              <w:t xml:space="preserve">Montant annuel</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CA brut (1 440 séances × 32 €)</w:t>
            </w:r>
          </w:p>
        </w:tc>
        <w:tc>
          <w:tcPr>
            <w:tcW w:type="dxa" w:w="3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right"/>
            </w:pPr>
            <w:r>
              <w:rPr>
                <w:b/>
                <w:bCs/>
                <w:sz w:val="22"/>
                <w:szCs w:val="22"/>
              </w:rPr>
              <w:t xml:space="preserve">46 080 €</w:t>
            </w:r>
          </w:p>
        </w:tc>
      </w:tr>
      <w:tr>
        <w:tc>
          <w:tcPr>
            <w:tcW w:type="dxa" w:w="5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 Rétrocession Praxis Loten (plafond 700 €/mois)</w:t>
            </w:r>
          </w:p>
        </w:tc>
        <w:tc>
          <w:tcPr>
            <w:tcW w:type="dxa" w:w="3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right"/>
            </w:pPr>
            <w:r>
              <w:rPr>
                <w:sz w:val="22"/>
                <w:szCs w:val="22"/>
              </w:rPr>
              <w:t xml:space="preserve">− 8 400 €</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 CA net cabinet</w:t>
            </w:r>
          </w:p>
        </w:tc>
        <w:tc>
          <w:tcPr>
            <w:tcW w:type="dxa" w:w="3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right"/>
            </w:pPr>
            <w:r>
              <w:rPr>
                <w:b/>
                <w:bCs/>
                <w:sz w:val="22"/>
                <w:szCs w:val="22"/>
              </w:rPr>
              <w:t xml:space="preserve">37 680 €</w:t>
            </w:r>
          </w:p>
        </w:tc>
      </w:tr>
      <w:tr>
        <w:tc>
          <w:tcPr>
            <w:tcW w:type="dxa" w:w="5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 Charges fixes (comptable, RC pro, formation, logiciel kiné, divers)</w:t>
            </w:r>
          </w:p>
        </w:tc>
        <w:tc>
          <w:tcPr>
            <w:tcW w:type="dxa" w:w="3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right"/>
            </w:pPr>
            <w:r>
              <w:rPr>
                <w:sz w:val="22"/>
                <w:szCs w:val="22"/>
              </w:rPr>
              <w:t xml:space="preserve">− 4 780 €</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 Amortissement matériel (Pack B)</w:t>
            </w:r>
          </w:p>
        </w:tc>
        <w:tc>
          <w:tcPr>
            <w:tcW w:type="dxa" w:w="3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right"/>
            </w:pPr>
            <w:r>
              <w:rPr>
                <w:sz w:val="22"/>
                <w:szCs w:val="22"/>
              </w:rPr>
              <w:t xml:space="preserve">− 6 105 €</w:t>
            </w:r>
          </w:p>
        </w:tc>
      </w:tr>
      <w:tr>
        <w:tc>
          <w:tcPr>
            <w:tcW w:type="dxa" w:w="5460"/>
            <w:tcBorders>
              <w:top w:val="single" w:color="BFBFBF" w:sz="4"/>
              <w:left w:val="single" w:color="BFBFBF" w:sz="4"/>
              <w:bottom w:val="single" w:color="BFBFBF" w:sz="4"/>
              <w:right w:val="single" w:color="BFBFBF" w:sz="4"/>
            </w:tcBorders>
            <w:shd w:fill="E8EAFA" w:val="clear"/>
            <w:tcMar>
              <w:top w:type="dxa" w:w="100"/>
              <w:left w:type="dxa" w:w="140"/>
              <w:bottom w:type="dxa" w:w="100"/>
              <w:right w:type="dxa" w:w="140"/>
            </w:tcMar>
            <w:vAlign w:val="center"/>
          </w:tcPr>
          <w:p>
            <w:pPr>
              <w:spacing w:after="0" w:line="280"/>
            </w:pPr>
            <w:r>
              <w:rPr>
                <w:b/>
                <w:bCs/>
                <w:sz w:val="22"/>
                <w:szCs w:val="22"/>
              </w:rPr>
              <w:t xml:space="preserve">= Revenu net imposable d'indépendant</w:t>
            </w:r>
          </w:p>
        </w:tc>
        <w:tc>
          <w:tcPr>
            <w:tcW w:type="dxa" w:w="3900"/>
            <w:tcBorders>
              <w:top w:val="single" w:color="BFBFBF" w:sz="4"/>
              <w:left w:val="single" w:color="BFBFBF" w:sz="4"/>
              <w:bottom w:val="single" w:color="BFBFBF" w:sz="4"/>
              <w:right w:val="single" w:color="BFBFBF" w:sz="4"/>
            </w:tcBorders>
            <w:shd w:fill="E8EAFA" w:val="clear"/>
            <w:tcMar>
              <w:top w:type="dxa" w:w="100"/>
              <w:left w:type="dxa" w:w="140"/>
              <w:bottom w:type="dxa" w:w="100"/>
              <w:right w:type="dxa" w:w="140"/>
            </w:tcMar>
            <w:vAlign w:val="center"/>
          </w:tcPr>
          <w:p>
            <w:pPr>
              <w:spacing w:after="0" w:line="280"/>
              <w:jc w:val="right"/>
            </w:pPr>
            <w:r>
              <w:rPr>
                <w:b/>
                <w:bCs/>
                <w:sz w:val="22"/>
                <w:szCs w:val="22"/>
              </w:rPr>
              <w:t xml:space="preserve">26 795 €</w:t>
            </w:r>
          </w:p>
        </w:tc>
      </w:tr>
      <w:tr>
        <w:tc>
          <w:tcPr>
            <w:tcW w:type="dxa" w:w="5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 Cotisations INASTI (20,5 %)</w:t>
            </w:r>
          </w:p>
        </w:tc>
        <w:tc>
          <w:tcPr>
            <w:tcW w:type="dxa" w:w="3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right"/>
            </w:pPr>
            <w:r>
              <w:rPr>
                <w:sz w:val="22"/>
                <w:szCs w:val="22"/>
              </w:rPr>
              <w:t xml:space="preserve">− 5 493 €</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 IPP marginal (≈ 51 % effectif avec communale)</w:t>
            </w:r>
          </w:p>
        </w:tc>
        <w:tc>
          <w:tcPr>
            <w:tcW w:type="dxa" w:w="3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right"/>
            </w:pPr>
            <w:r>
              <w:rPr>
                <w:sz w:val="22"/>
                <w:szCs w:val="22"/>
              </w:rPr>
              <w:t xml:space="preserve">− 10 859 €</w:t>
            </w:r>
          </w:p>
        </w:tc>
      </w:tr>
      <w:tr>
        <w:tc>
          <w:tcPr>
            <w:tcW w:type="dxa" w:w="5460"/>
            <w:tcBorders>
              <w:top w:val="single" w:color="BFBFBF" w:sz="4"/>
              <w:left w:val="single" w:color="BFBFBF" w:sz="4"/>
              <w:bottom w:val="single" w:color="BFBFBF" w:sz="4"/>
              <w:right w:val="single" w:color="BFBFBF" w:sz="4"/>
            </w:tcBorders>
            <w:shd w:fill="76B82A" w:val="clear"/>
            <w:tcMar>
              <w:top w:type="dxa" w:w="100"/>
              <w:left w:type="dxa" w:w="140"/>
              <w:bottom w:type="dxa" w:w="100"/>
              <w:right w:type="dxa" w:w="140"/>
            </w:tcMar>
            <w:vAlign w:val="center"/>
          </w:tcPr>
          <w:p>
            <w:pPr>
              <w:spacing w:after="0" w:line="280"/>
            </w:pPr>
            <w:r>
              <w:rPr>
                <w:b/>
                <w:bCs/>
                <w:color w:val="FFFFFF"/>
                <w:sz w:val="22"/>
                <w:szCs w:val="22"/>
              </w:rPr>
              <w:t xml:space="preserve">NET ANNUEL EN POCHE</w:t>
            </w:r>
          </w:p>
        </w:tc>
        <w:tc>
          <w:tcPr>
            <w:tcW w:type="dxa" w:w="3900"/>
            <w:tcBorders>
              <w:top w:val="single" w:color="BFBFBF" w:sz="4"/>
              <w:left w:val="single" w:color="BFBFBF" w:sz="4"/>
              <w:bottom w:val="single" w:color="BFBFBF" w:sz="4"/>
              <w:right w:val="single" w:color="BFBFBF" w:sz="4"/>
            </w:tcBorders>
            <w:shd w:fill="76B82A" w:val="clear"/>
            <w:tcMar>
              <w:top w:type="dxa" w:w="100"/>
              <w:left w:type="dxa" w:w="140"/>
              <w:bottom w:type="dxa" w:w="100"/>
              <w:right w:type="dxa" w:w="140"/>
            </w:tcMar>
            <w:vAlign w:val="center"/>
          </w:tcPr>
          <w:p>
            <w:pPr>
              <w:spacing w:after="0" w:line="280"/>
              <w:jc w:val="right"/>
            </w:pPr>
            <w:r>
              <w:rPr>
                <w:b/>
                <w:bCs/>
                <w:color w:val="FFFFFF"/>
                <w:sz w:val="22"/>
                <w:szCs w:val="22"/>
              </w:rPr>
              <w:t xml:space="preserve">≈ 10 443 €</w:t>
            </w:r>
          </w:p>
        </w:tc>
      </w:tr>
      <w:tr>
        <w:tc>
          <w:tcPr>
            <w:tcW w:type="dxa" w:w="5460"/>
            <w:tcBorders>
              <w:top w:val="single" w:color="BFBFBF" w:sz="4"/>
              <w:left w:val="single" w:color="BFBFBF" w:sz="4"/>
              <w:bottom w:val="single" w:color="BFBFBF" w:sz="4"/>
              <w:right w:val="single" w:color="BFBFBF" w:sz="4"/>
            </w:tcBorders>
            <w:shd w:fill="76B82A" w:val="clear"/>
            <w:tcMar>
              <w:top w:type="dxa" w:w="100"/>
              <w:left w:type="dxa" w:w="140"/>
              <w:bottom w:type="dxa" w:w="100"/>
              <w:right w:type="dxa" w:w="140"/>
            </w:tcMar>
            <w:vAlign w:val="center"/>
          </w:tcPr>
          <w:p>
            <w:pPr>
              <w:spacing w:after="0" w:line="280"/>
            </w:pPr>
            <w:r>
              <w:rPr>
                <w:b/>
                <w:bCs/>
                <w:color w:val="FFFFFF"/>
                <w:sz w:val="22"/>
                <w:szCs w:val="22"/>
              </w:rPr>
              <w:t xml:space="preserve">NET MENSUEL EN POCHE</w:t>
            </w:r>
          </w:p>
        </w:tc>
        <w:tc>
          <w:tcPr>
            <w:tcW w:type="dxa" w:w="3900"/>
            <w:tcBorders>
              <w:top w:val="single" w:color="BFBFBF" w:sz="4"/>
              <w:left w:val="single" w:color="BFBFBF" w:sz="4"/>
              <w:bottom w:val="single" w:color="BFBFBF" w:sz="4"/>
              <w:right w:val="single" w:color="BFBFBF" w:sz="4"/>
            </w:tcBorders>
            <w:shd w:fill="76B82A" w:val="clear"/>
            <w:tcMar>
              <w:top w:type="dxa" w:w="100"/>
              <w:left w:type="dxa" w:w="140"/>
              <w:bottom w:type="dxa" w:w="100"/>
              <w:right w:type="dxa" w:w="140"/>
            </w:tcMar>
            <w:vAlign w:val="center"/>
          </w:tcPr>
          <w:p>
            <w:pPr>
              <w:spacing w:after="0" w:line="280"/>
              <w:jc w:val="right"/>
            </w:pPr>
            <w:r>
              <w:rPr>
                <w:b/>
                <w:bCs/>
                <w:color w:val="FFFFFF"/>
                <w:sz w:val="22"/>
                <w:szCs w:val="22"/>
              </w:rPr>
              <w:t xml:space="preserve">≈ 870 €</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500" w:sz="4"/>
              <w:left w:val="single" w:color="B26500" w:sz="32"/>
              <w:bottom w:val="single" w:color="B26500" w:sz="4"/>
              <w:right w:val="single" w:color="B26500" w:sz="4"/>
            </w:tcBorders>
            <w:shd w:fill="FFF4E0" w:val="clear"/>
            <w:tcMar>
              <w:top w:type="dxa" w:w="200"/>
              <w:left w:type="dxa" w:w="260"/>
              <w:bottom w:type="dxa" w:w="200"/>
              <w:right w:type="dxa" w:w="220"/>
            </w:tcMar>
          </w:tcPr>
          <w:p>
            <w:pPr>
              <w:spacing w:after="80"/>
            </w:pPr>
            <w:r>
              <w:rPr>
                <w:b/>
                <w:bCs/>
                <w:color w:val="B26500"/>
                <w:sz w:val="22"/>
                <w:szCs w:val="22"/>
              </w:rPr>
              <w:t xml:space="preserve">Lecture honnête du scénario 1</w:t>
            </w:r>
          </w:p>
          <w:p>
            <w:pPr>
              <w:spacing w:after="60" w:line="280"/>
            </w:pPr>
            <w:r>
              <w:rPr>
                <w:color w:val="0D1120"/>
                <w:sz w:val="21"/>
                <w:szCs w:val="21"/>
              </w:rPr>
              <w:t xml:space="preserve">Pour 16 demi-journées de travail par mois, 870 €/mois nets : ce n'est ni rentable, ni motivant.</w:t>
            </w:r>
          </w:p>
          <w:p>
            <w:pPr>
              <w:spacing w:after="60" w:line="280"/>
            </w:pPr>
            <w:r>
              <w:rPr>
                <w:color w:val="0D1120"/>
                <w:sz w:val="21"/>
                <w:szCs w:val="21"/>
              </w:rPr>
              <w:t xml:space="preserve">L'amortissement du matériel pèse lourd sur le bénéfice imposable la première année — c'est conjoncturel, mais ça mord sur le cash net.</w:t>
            </w:r>
          </w:p>
          <w:p>
            <w:pPr>
              <w:spacing w:after="60" w:line="280"/>
            </w:pPr>
            <w:r>
              <w:rPr>
                <w:color w:val="0D1120"/>
                <w:sz w:val="21"/>
                <w:szCs w:val="21"/>
              </w:rPr>
              <w:t xml:space="preserve">Conclusion : le scénario conventionné intégral est viable uniquement si la motivation est non-financière (mission de santé publique, complément modeste) ou si le pack matériel est plus léger (Pack A à 13 500 €). Avec Pack A, le net mensuel remonte à ≈ 1 070 €.</w:t>
            </w:r>
          </w:p>
        </w:tc>
      </w:tr>
    </w:tbl>
    <w:p>
      <w:pPr>
        <w:spacing w:after="120"/>
      </w:pPr>
      <w:r>
        <w:t xml:space="preserve"/>
      </w:r>
    </w:p>
    <w:p>
      <w:pPr>
        <w:pStyle w:val="Heading2"/>
        <w:spacing w:after="160" w:before="280"/>
      </w:pPr>
      <w:r>
        <w:t xml:space="preserve">8.3 Scénario 2 — Déconventionnée modérée (recommandé)</w:t>
      </w:r>
    </w:p>
    <w:p>
      <w:pPr>
        <w:spacing w:after="120" w:before="0" w:line="300"/>
      </w:pPr>
      <w:r>
        <w:t xml:space="preserve">Tu te déconventionnes et appliques un supplément raisonnable de 10 € en moyenne par séance, justifié par le matériel vestibulaire spécifique (VR, VNG, fauteuil rotatoire). Le patient continue à se faire rembourser le tarif conventionné par sa mutuelle, et paye 10 € de supplément de sa poche.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rPr>
          <w:tblHeader/>
        </w:trPr>
        <w:tc>
          <w:tcPr>
            <w:tcW w:type="dxa" w:w="546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pPr>
            <w:r>
              <w:rPr>
                <w:b/>
                <w:bCs/>
                <w:color w:val="FFFFFF"/>
                <w:sz w:val="22"/>
                <w:szCs w:val="22"/>
              </w:rPr>
              <w:t xml:space="preserve">Ligne</w:t>
            </w:r>
          </w:p>
        </w:tc>
        <w:tc>
          <w:tcPr>
            <w:tcW w:type="dxa" w:w="390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right"/>
            </w:pPr>
            <w:r>
              <w:rPr>
                <w:b/>
                <w:bCs/>
                <w:color w:val="FFFFFF"/>
                <w:sz w:val="22"/>
                <w:szCs w:val="22"/>
              </w:rPr>
              <w:t xml:space="preserve">Montant annuel</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CA brut (1 440 séances × 42 €)</w:t>
            </w:r>
          </w:p>
        </w:tc>
        <w:tc>
          <w:tcPr>
            <w:tcW w:type="dxa" w:w="3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right"/>
            </w:pPr>
            <w:r>
              <w:rPr>
                <w:b/>
                <w:bCs/>
                <w:sz w:val="22"/>
                <w:szCs w:val="22"/>
              </w:rPr>
              <w:t xml:space="preserve">60 480 €</w:t>
            </w:r>
          </w:p>
        </w:tc>
      </w:tr>
      <w:tr>
        <w:tc>
          <w:tcPr>
            <w:tcW w:type="dxa" w:w="5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 Rétrocession Praxis Loten (plafond 700 €/mois)</w:t>
            </w:r>
          </w:p>
        </w:tc>
        <w:tc>
          <w:tcPr>
            <w:tcW w:type="dxa" w:w="3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right"/>
            </w:pPr>
            <w:r>
              <w:rPr>
                <w:sz w:val="22"/>
                <w:szCs w:val="22"/>
              </w:rPr>
              <w:t xml:space="preserve">− 8 400 €</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 CA net cabinet</w:t>
            </w:r>
          </w:p>
        </w:tc>
        <w:tc>
          <w:tcPr>
            <w:tcW w:type="dxa" w:w="3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right"/>
            </w:pPr>
            <w:r>
              <w:rPr>
                <w:b/>
                <w:bCs/>
                <w:sz w:val="22"/>
                <w:szCs w:val="22"/>
              </w:rPr>
              <w:t xml:space="preserve">52 080 €</w:t>
            </w:r>
          </w:p>
        </w:tc>
      </w:tr>
      <w:tr>
        <w:tc>
          <w:tcPr>
            <w:tcW w:type="dxa" w:w="5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 Charges fixes</w:t>
            </w:r>
          </w:p>
        </w:tc>
        <w:tc>
          <w:tcPr>
            <w:tcW w:type="dxa" w:w="3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right"/>
            </w:pPr>
            <w:r>
              <w:rPr>
                <w:sz w:val="22"/>
                <w:szCs w:val="22"/>
              </w:rPr>
              <w:t xml:space="preserve">− 4 780 €</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 Amortissement matériel (Pack B)</w:t>
            </w:r>
          </w:p>
        </w:tc>
        <w:tc>
          <w:tcPr>
            <w:tcW w:type="dxa" w:w="3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right"/>
            </w:pPr>
            <w:r>
              <w:rPr>
                <w:sz w:val="22"/>
                <w:szCs w:val="22"/>
              </w:rPr>
              <w:t xml:space="preserve">− 6 105 €</w:t>
            </w:r>
          </w:p>
        </w:tc>
      </w:tr>
      <w:tr>
        <w:tc>
          <w:tcPr>
            <w:tcW w:type="dxa" w:w="5460"/>
            <w:tcBorders>
              <w:top w:val="single" w:color="BFBFBF" w:sz="4"/>
              <w:left w:val="single" w:color="BFBFBF" w:sz="4"/>
              <w:bottom w:val="single" w:color="BFBFBF" w:sz="4"/>
              <w:right w:val="single" w:color="BFBFBF" w:sz="4"/>
            </w:tcBorders>
            <w:shd w:fill="E8EAFA" w:val="clear"/>
            <w:tcMar>
              <w:top w:type="dxa" w:w="100"/>
              <w:left w:type="dxa" w:w="140"/>
              <w:bottom w:type="dxa" w:w="100"/>
              <w:right w:type="dxa" w:w="140"/>
            </w:tcMar>
            <w:vAlign w:val="center"/>
          </w:tcPr>
          <w:p>
            <w:pPr>
              <w:spacing w:after="0" w:line="280"/>
            </w:pPr>
            <w:r>
              <w:rPr>
                <w:b/>
                <w:bCs/>
                <w:sz w:val="22"/>
                <w:szCs w:val="22"/>
              </w:rPr>
              <w:t xml:space="preserve">= Revenu net imposable d'indépendant</w:t>
            </w:r>
          </w:p>
        </w:tc>
        <w:tc>
          <w:tcPr>
            <w:tcW w:type="dxa" w:w="3900"/>
            <w:tcBorders>
              <w:top w:val="single" w:color="BFBFBF" w:sz="4"/>
              <w:left w:val="single" w:color="BFBFBF" w:sz="4"/>
              <w:bottom w:val="single" w:color="BFBFBF" w:sz="4"/>
              <w:right w:val="single" w:color="BFBFBF" w:sz="4"/>
            </w:tcBorders>
            <w:shd w:fill="E8EAFA" w:val="clear"/>
            <w:tcMar>
              <w:top w:type="dxa" w:w="100"/>
              <w:left w:type="dxa" w:w="140"/>
              <w:bottom w:type="dxa" w:w="100"/>
              <w:right w:type="dxa" w:w="140"/>
            </w:tcMar>
            <w:vAlign w:val="center"/>
          </w:tcPr>
          <w:p>
            <w:pPr>
              <w:spacing w:after="0" w:line="280"/>
              <w:jc w:val="right"/>
            </w:pPr>
            <w:r>
              <w:rPr>
                <w:b/>
                <w:bCs/>
                <w:sz w:val="22"/>
                <w:szCs w:val="22"/>
              </w:rPr>
              <w:t xml:space="preserve">41 195 €</w:t>
            </w:r>
          </w:p>
        </w:tc>
      </w:tr>
      <w:tr>
        <w:tc>
          <w:tcPr>
            <w:tcW w:type="dxa" w:w="5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 Cotisations INASTI (20,5 %)</w:t>
            </w:r>
          </w:p>
        </w:tc>
        <w:tc>
          <w:tcPr>
            <w:tcW w:type="dxa" w:w="3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right"/>
            </w:pPr>
            <w:r>
              <w:rPr>
                <w:sz w:val="22"/>
                <w:szCs w:val="22"/>
              </w:rPr>
              <w:t xml:space="preserve">− 8 445 €</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 IPP marginal (≈ 51 %)</w:t>
            </w:r>
          </w:p>
        </w:tc>
        <w:tc>
          <w:tcPr>
            <w:tcW w:type="dxa" w:w="3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right"/>
            </w:pPr>
            <w:r>
              <w:rPr>
                <w:sz w:val="22"/>
                <w:szCs w:val="22"/>
              </w:rPr>
              <w:t xml:space="preserve">− 16 685 €</w:t>
            </w:r>
          </w:p>
        </w:tc>
      </w:tr>
      <w:tr>
        <w:tc>
          <w:tcPr>
            <w:tcW w:type="dxa" w:w="5460"/>
            <w:tcBorders>
              <w:top w:val="single" w:color="BFBFBF" w:sz="4"/>
              <w:left w:val="single" w:color="BFBFBF" w:sz="4"/>
              <w:bottom w:val="single" w:color="BFBFBF" w:sz="4"/>
              <w:right w:val="single" w:color="BFBFBF" w:sz="4"/>
            </w:tcBorders>
            <w:shd w:fill="76B82A" w:val="clear"/>
            <w:tcMar>
              <w:top w:type="dxa" w:w="100"/>
              <w:left w:type="dxa" w:w="140"/>
              <w:bottom w:type="dxa" w:w="100"/>
              <w:right w:type="dxa" w:w="140"/>
            </w:tcMar>
            <w:vAlign w:val="center"/>
          </w:tcPr>
          <w:p>
            <w:pPr>
              <w:spacing w:after="0" w:line="280"/>
            </w:pPr>
            <w:r>
              <w:rPr>
                <w:b/>
                <w:bCs/>
                <w:color w:val="FFFFFF"/>
                <w:sz w:val="22"/>
                <w:szCs w:val="22"/>
              </w:rPr>
              <w:t xml:space="preserve">NET ANNUEL EN POCHE</w:t>
            </w:r>
          </w:p>
        </w:tc>
        <w:tc>
          <w:tcPr>
            <w:tcW w:type="dxa" w:w="3900"/>
            <w:tcBorders>
              <w:top w:val="single" w:color="BFBFBF" w:sz="4"/>
              <w:left w:val="single" w:color="BFBFBF" w:sz="4"/>
              <w:bottom w:val="single" w:color="BFBFBF" w:sz="4"/>
              <w:right w:val="single" w:color="BFBFBF" w:sz="4"/>
            </w:tcBorders>
            <w:shd w:fill="76B82A" w:val="clear"/>
            <w:tcMar>
              <w:top w:type="dxa" w:w="100"/>
              <w:left w:type="dxa" w:w="140"/>
              <w:bottom w:type="dxa" w:w="100"/>
              <w:right w:type="dxa" w:w="140"/>
            </w:tcMar>
            <w:vAlign w:val="center"/>
          </w:tcPr>
          <w:p>
            <w:pPr>
              <w:spacing w:after="0" w:line="280"/>
              <w:jc w:val="right"/>
            </w:pPr>
            <w:r>
              <w:rPr>
                <w:b/>
                <w:bCs/>
                <w:color w:val="FFFFFF"/>
                <w:sz w:val="22"/>
                <w:szCs w:val="22"/>
              </w:rPr>
              <w:t xml:space="preserve">≈ 16 065 €</w:t>
            </w:r>
          </w:p>
        </w:tc>
      </w:tr>
      <w:tr>
        <w:tc>
          <w:tcPr>
            <w:tcW w:type="dxa" w:w="5460"/>
            <w:tcBorders>
              <w:top w:val="single" w:color="BFBFBF" w:sz="4"/>
              <w:left w:val="single" w:color="BFBFBF" w:sz="4"/>
              <w:bottom w:val="single" w:color="BFBFBF" w:sz="4"/>
              <w:right w:val="single" w:color="BFBFBF" w:sz="4"/>
            </w:tcBorders>
            <w:shd w:fill="76B82A" w:val="clear"/>
            <w:tcMar>
              <w:top w:type="dxa" w:w="100"/>
              <w:left w:type="dxa" w:w="140"/>
              <w:bottom w:type="dxa" w:w="100"/>
              <w:right w:type="dxa" w:w="140"/>
            </w:tcMar>
            <w:vAlign w:val="center"/>
          </w:tcPr>
          <w:p>
            <w:pPr>
              <w:spacing w:after="0" w:line="280"/>
            </w:pPr>
            <w:r>
              <w:rPr>
                <w:b/>
                <w:bCs/>
                <w:color w:val="FFFFFF"/>
                <w:sz w:val="22"/>
                <w:szCs w:val="22"/>
              </w:rPr>
              <w:t xml:space="preserve">NET MENSUEL EN POCHE</w:t>
            </w:r>
          </w:p>
        </w:tc>
        <w:tc>
          <w:tcPr>
            <w:tcW w:type="dxa" w:w="3900"/>
            <w:tcBorders>
              <w:top w:val="single" w:color="BFBFBF" w:sz="4"/>
              <w:left w:val="single" w:color="BFBFBF" w:sz="4"/>
              <w:bottom w:val="single" w:color="BFBFBF" w:sz="4"/>
              <w:right w:val="single" w:color="BFBFBF" w:sz="4"/>
            </w:tcBorders>
            <w:shd w:fill="76B82A" w:val="clear"/>
            <w:tcMar>
              <w:top w:type="dxa" w:w="100"/>
              <w:left w:type="dxa" w:w="140"/>
              <w:bottom w:type="dxa" w:w="100"/>
              <w:right w:type="dxa" w:w="140"/>
            </w:tcMar>
            <w:vAlign w:val="center"/>
          </w:tcPr>
          <w:p>
            <w:pPr>
              <w:spacing w:after="0" w:line="280"/>
              <w:jc w:val="right"/>
            </w:pPr>
            <w:r>
              <w:rPr>
                <w:b/>
                <w:bCs/>
                <w:color w:val="FFFFFF"/>
                <w:sz w:val="22"/>
                <w:szCs w:val="22"/>
              </w:rPr>
              <w:t xml:space="preserve">≈ 1 340 €</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1F52" w:sz="4"/>
              <w:left w:val="single" w:color="1A1F52" w:sz="32"/>
              <w:bottom w:val="single" w:color="1A1F52" w:sz="4"/>
              <w:right w:val="single" w:color="1A1F52" w:sz="4"/>
            </w:tcBorders>
            <w:shd w:fill="E8EAFA" w:val="clear"/>
            <w:tcMar>
              <w:top w:type="dxa" w:w="200"/>
              <w:left w:type="dxa" w:w="260"/>
              <w:bottom w:type="dxa" w:w="200"/>
              <w:right w:type="dxa" w:w="220"/>
            </w:tcMar>
          </w:tcPr>
          <w:p>
            <w:pPr>
              <w:spacing w:after="80"/>
            </w:pPr>
            <w:r>
              <w:rPr>
                <w:b/>
                <w:bCs/>
                <w:color w:val="1A1F52"/>
                <w:sz w:val="22"/>
                <w:szCs w:val="22"/>
              </w:rPr>
              <w:t xml:space="preserve">Lecture du scénario 2</w:t>
            </w:r>
          </w:p>
          <w:p>
            <w:pPr>
              <w:spacing w:after="60" w:line="280"/>
            </w:pPr>
            <w:r>
              <w:rPr>
                <w:color w:val="0D1120"/>
                <w:sz w:val="21"/>
                <w:szCs w:val="21"/>
              </w:rPr>
              <w:t xml:space="preserve">Un supplément de 10 €/séance ajoute 14 400 € de CA, qui se transforme en environ 5 600 € de net réel après cotisations et impôts. Le levier déconventionnement est puissant — chaque euro de supplément te rapporte ≈ 39 cents en poche.</w:t>
            </w:r>
          </w:p>
          <w:p>
            <w:pPr>
              <w:spacing w:after="60" w:line="280"/>
            </w:pPr>
            <w:r>
              <w:rPr>
                <w:color w:val="0D1120"/>
                <w:sz w:val="21"/>
                <w:szCs w:val="21"/>
              </w:rPr>
              <w:t xml:space="preserve">C'est le scénario réaliste de référence : ~1 340 €/mois pour 16 demi-journées/mois, soit environ 84 €/demi-journée nets.</w:t>
            </w:r>
          </w:p>
          <w:p>
            <w:pPr>
              <w:spacing w:after="60" w:line="280"/>
            </w:pPr>
            <w:r>
              <w:rPr>
                <w:color w:val="0D1120"/>
                <w:sz w:val="21"/>
                <w:szCs w:val="21"/>
              </w:rPr>
              <w:t xml:space="preserve">Pour comparaison : 84 €/demi-journée nets, c'est très en-dessous de ton coût horaire à l'hôpital (qui est d'environ 18-20 €/h nets en équivalent fiche de paie). Mais c'est la mécanique brutale de la fiscalité marginale cumulée — pas un défaut du projet en soi.</w:t>
            </w:r>
          </w:p>
        </w:tc>
      </w:tr>
    </w:tbl>
    <w:p>
      <w:pPr>
        <w:spacing w:after="120"/>
      </w:pPr>
      <w:r>
        <w:t xml:space="preserve"/>
      </w:r>
    </w:p>
    <w:p>
      <w:pPr>
        <w:pStyle w:val="Heading2"/>
        <w:spacing w:after="160" w:before="280"/>
      </w:pPr>
      <w:r>
        <w:t xml:space="preserve">8.4 Scénario 3 — Vitesse de croisière à 18-24 mois</w:t>
      </w:r>
    </w:p>
    <w:p>
      <w:pPr>
        <w:spacing w:after="120" w:before="0" w:line="300"/>
      </w:pPr>
      <w:r>
        <w:t xml:space="preserve">Après une montée en charge progressive, tu es à pleine capacité : 5 après-midi par semaine actifs, 9 séances par après-midi en moyenne, déconventionnée avec supplément 12 € (justifié par matériel et expertise reconnue), agenda saturé via le pipeline ORL.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rPr>
          <w:tblHeader/>
        </w:trPr>
        <w:tc>
          <w:tcPr>
            <w:tcW w:type="dxa" w:w="546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pPr>
            <w:r>
              <w:rPr>
                <w:b/>
                <w:bCs/>
                <w:color w:val="FFFFFF"/>
                <w:sz w:val="22"/>
                <w:szCs w:val="22"/>
              </w:rPr>
              <w:t xml:space="preserve">Ligne</w:t>
            </w:r>
          </w:p>
        </w:tc>
        <w:tc>
          <w:tcPr>
            <w:tcW w:type="dxa" w:w="390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right"/>
            </w:pPr>
            <w:r>
              <w:rPr>
                <w:b/>
                <w:bCs/>
                <w:color w:val="FFFFFF"/>
                <w:sz w:val="22"/>
                <w:szCs w:val="22"/>
              </w:rPr>
              <w:t xml:space="preserve">Montant annuel</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CA brut (5×45×9 = 2 025 séances × 44 €)</w:t>
            </w:r>
          </w:p>
        </w:tc>
        <w:tc>
          <w:tcPr>
            <w:tcW w:type="dxa" w:w="3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right"/>
            </w:pPr>
            <w:r>
              <w:rPr>
                <w:b/>
                <w:bCs/>
                <w:sz w:val="22"/>
                <w:szCs w:val="22"/>
              </w:rPr>
              <w:t xml:space="preserve">89 100 €</w:t>
            </w:r>
          </w:p>
        </w:tc>
      </w:tr>
      <w:tr>
        <w:tc>
          <w:tcPr>
            <w:tcW w:type="dxa" w:w="5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 Rétrocession Praxis Loten (plafond 700 €/mois)</w:t>
            </w:r>
          </w:p>
        </w:tc>
        <w:tc>
          <w:tcPr>
            <w:tcW w:type="dxa" w:w="3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right"/>
            </w:pPr>
            <w:r>
              <w:rPr>
                <w:sz w:val="22"/>
                <w:szCs w:val="22"/>
              </w:rPr>
              <w:t xml:space="preserve">− 8 400 €</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 CA net cabinet</w:t>
            </w:r>
          </w:p>
        </w:tc>
        <w:tc>
          <w:tcPr>
            <w:tcW w:type="dxa" w:w="3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right"/>
            </w:pPr>
            <w:r>
              <w:rPr>
                <w:b/>
                <w:bCs/>
                <w:sz w:val="22"/>
                <w:szCs w:val="22"/>
              </w:rPr>
              <w:t xml:space="preserve">80 700 €</w:t>
            </w:r>
          </w:p>
        </w:tc>
      </w:tr>
      <w:tr>
        <w:tc>
          <w:tcPr>
            <w:tcW w:type="dxa" w:w="5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 Charges fixes</w:t>
            </w:r>
          </w:p>
        </w:tc>
        <w:tc>
          <w:tcPr>
            <w:tcW w:type="dxa" w:w="3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right"/>
            </w:pPr>
            <w:r>
              <w:rPr>
                <w:sz w:val="22"/>
                <w:szCs w:val="22"/>
              </w:rPr>
              <w:t xml:space="preserve">− 4 780 €</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 Amortissement matériel (Pack B amorti année 3)</w:t>
            </w:r>
          </w:p>
        </w:tc>
        <w:tc>
          <w:tcPr>
            <w:tcW w:type="dxa" w:w="3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right"/>
            </w:pPr>
            <w:r>
              <w:rPr>
                <w:sz w:val="22"/>
                <w:szCs w:val="22"/>
              </w:rPr>
              <w:t xml:space="preserve">− 6 105 €</w:t>
            </w:r>
          </w:p>
        </w:tc>
      </w:tr>
      <w:tr>
        <w:tc>
          <w:tcPr>
            <w:tcW w:type="dxa" w:w="5460"/>
            <w:tcBorders>
              <w:top w:val="single" w:color="BFBFBF" w:sz="4"/>
              <w:left w:val="single" w:color="BFBFBF" w:sz="4"/>
              <w:bottom w:val="single" w:color="BFBFBF" w:sz="4"/>
              <w:right w:val="single" w:color="BFBFBF" w:sz="4"/>
            </w:tcBorders>
            <w:shd w:fill="E8EAFA" w:val="clear"/>
            <w:tcMar>
              <w:top w:type="dxa" w:w="100"/>
              <w:left w:type="dxa" w:w="140"/>
              <w:bottom w:type="dxa" w:w="100"/>
              <w:right w:type="dxa" w:w="140"/>
            </w:tcMar>
            <w:vAlign w:val="center"/>
          </w:tcPr>
          <w:p>
            <w:pPr>
              <w:spacing w:after="0" w:line="280"/>
            </w:pPr>
            <w:r>
              <w:rPr>
                <w:b/>
                <w:bCs/>
                <w:sz w:val="22"/>
                <w:szCs w:val="22"/>
              </w:rPr>
              <w:t xml:space="preserve">= Revenu net imposable d'indépendant</w:t>
            </w:r>
          </w:p>
        </w:tc>
        <w:tc>
          <w:tcPr>
            <w:tcW w:type="dxa" w:w="3900"/>
            <w:tcBorders>
              <w:top w:val="single" w:color="BFBFBF" w:sz="4"/>
              <w:left w:val="single" w:color="BFBFBF" w:sz="4"/>
              <w:bottom w:val="single" w:color="BFBFBF" w:sz="4"/>
              <w:right w:val="single" w:color="BFBFBF" w:sz="4"/>
            </w:tcBorders>
            <w:shd w:fill="E8EAFA" w:val="clear"/>
            <w:tcMar>
              <w:top w:type="dxa" w:w="100"/>
              <w:left w:type="dxa" w:w="140"/>
              <w:bottom w:type="dxa" w:w="100"/>
              <w:right w:type="dxa" w:w="140"/>
            </w:tcMar>
            <w:vAlign w:val="center"/>
          </w:tcPr>
          <w:p>
            <w:pPr>
              <w:spacing w:after="0" w:line="280"/>
              <w:jc w:val="right"/>
            </w:pPr>
            <w:r>
              <w:rPr>
                <w:b/>
                <w:bCs/>
                <w:sz w:val="22"/>
                <w:szCs w:val="22"/>
              </w:rPr>
              <w:t xml:space="preserve">69 815 €</w:t>
            </w:r>
          </w:p>
        </w:tc>
      </w:tr>
      <w:tr>
        <w:tc>
          <w:tcPr>
            <w:tcW w:type="dxa" w:w="5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 Cotisations INASTI (20,5 %)</w:t>
            </w:r>
          </w:p>
        </w:tc>
        <w:tc>
          <w:tcPr>
            <w:tcW w:type="dxa" w:w="3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right"/>
            </w:pPr>
            <w:r>
              <w:rPr>
                <w:sz w:val="22"/>
                <w:szCs w:val="22"/>
              </w:rPr>
              <w:t xml:space="preserve">− 14 312 €</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 IPP marginal (52 % effectif tranche haute)</w:t>
            </w:r>
          </w:p>
        </w:tc>
        <w:tc>
          <w:tcPr>
            <w:tcW w:type="dxa" w:w="3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right"/>
            </w:pPr>
            <w:r>
              <w:rPr>
                <w:sz w:val="22"/>
                <w:szCs w:val="22"/>
              </w:rPr>
              <w:t xml:space="preserve">− 28 822 €</w:t>
            </w:r>
          </w:p>
        </w:tc>
      </w:tr>
      <w:tr>
        <w:tc>
          <w:tcPr>
            <w:tcW w:type="dxa" w:w="5460"/>
            <w:tcBorders>
              <w:top w:val="single" w:color="BFBFBF" w:sz="4"/>
              <w:left w:val="single" w:color="BFBFBF" w:sz="4"/>
              <w:bottom w:val="single" w:color="BFBFBF" w:sz="4"/>
              <w:right w:val="single" w:color="BFBFBF" w:sz="4"/>
            </w:tcBorders>
            <w:shd w:fill="76B82A" w:val="clear"/>
            <w:tcMar>
              <w:top w:type="dxa" w:w="100"/>
              <w:left w:type="dxa" w:w="140"/>
              <w:bottom w:type="dxa" w:w="100"/>
              <w:right w:type="dxa" w:w="140"/>
            </w:tcMar>
            <w:vAlign w:val="center"/>
          </w:tcPr>
          <w:p>
            <w:pPr>
              <w:spacing w:after="0" w:line="280"/>
            </w:pPr>
            <w:r>
              <w:rPr>
                <w:b/>
                <w:bCs/>
                <w:color w:val="FFFFFF"/>
                <w:sz w:val="22"/>
                <w:szCs w:val="22"/>
              </w:rPr>
              <w:t xml:space="preserve">NET ANNUEL EN POCHE</w:t>
            </w:r>
          </w:p>
        </w:tc>
        <w:tc>
          <w:tcPr>
            <w:tcW w:type="dxa" w:w="3900"/>
            <w:tcBorders>
              <w:top w:val="single" w:color="BFBFBF" w:sz="4"/>
              <w:left w:val="single" w:color="BFBFBF" w:sz="4"/>
              <w:bottom w:val="single" w:color="BFBFBF" w:sz="4"/>
              <w:right w:val="single" w:color="BFBFBF" w:sz="4"/>
            </w:tcBorders>
            <w:shd w:fill="76B82A" w:val="clear"/>
            <w:tcMar>
              <w:top w:type="dxa" w:w="100"/>
              <w:left w:type="dxa" w:w="140"/>
              <w:bottom w:type="dxa" w:w="100"/>
              <w:right w:type="dxa" w:w="140"/>
            </w:tcMar>
            <w:vAlign w:val="center"/>
          </w:tcPr>
          <w:p>
            <w:pPr>
              <w:spacing w:after="0" w:line="280"/>
              <w:jc w:val="right"/>
            </w:pPr>
            <w:r>
              <w:rPr>
                <w:b/>
                <w:bCs/>
                <w:color w:val="FFFFFF"/>
                <w:sz w:val="22"/>
                <w:szCs w:val="22"/>
              </w:rPr>
              <w:t xml:space="preserve">≈ 26 681 €</w:t>
            </w:r>
          </w:p>
        </w:tc>
      </w:tr>
      <w:tr>
        <w:tc>
          <w:tcPr>
            <w:tcW w:type="dxa" w:w="5460"/>
            <w:tcBorders>
              <w:top w:val="single" w:color="BFBFBF" w:sz="4"/>
              <w:left w:val="single" w:color="BFBFBF" w:sz="4"/>
              <w:bottom w:val="single" w:color="BFBFBF" w:sz="4"/>
              <w:right w:val="single" w:color="BFBFBF" w:sz="4"/>
            </w:tcBorders>
            <w:shd w:fill="76B82A" w:val="clear"/>
            <w:tcMar>
              <w:top w:type="dxa" w:w="100"/>
              <w:left w:type="dxa" w:w="140"/>
              <w:bottom w:type="dxa" w:w="100"/>
              <w:right w:type="dxa" w:w="140"/>
            </w:tcMar>
            <w:vAlign w:val="center"/>
          </w:tcPr>
          <w:p>
            <w:pPr>
              <w:spacing w:after="0" w:line="280"/>
            </w:pPr>
            <w:r>
              <w:rPr>
                <w:b/>
                <w:bCs/>
                <w:color w:val="FFFFFF"/>
                <w:sz w:val="22"/>
                <w:szCs w:val="22"/>
              </w:rPr>
              <w:t xml:space="preserve">NET MENSUEL EN POCHE</w:t>
            </w:r>
          </w:p>
        </w:tc>
        <w:tc>
          <w:tcPr>
            <w:tcW w:type="dxa" w:w="3900"/>
            <w:tcBorders>
              <w:top w:val="single" w:color="BFBFBF" w:sz="4"/>
              <w:left w:val="single" w:color="BFBFBF" w:sz="4"/>
              <w:bottom w:val="single" w:color="BFBFBF" w:sz="4"/>
              <w:right w:val="single" w:color="BFBFBF" w:sz="4"/>
            </w:tcBorders>
            <w:shd w:fill="76B82A" w:val="clear"/>
            <w:tcMar>
              <w:top w:type="dxa" w:w="100"/>
              <w:left w:type="dxa" w:w="140"/>
              <w:bottom w:type="dxa" w:w="100"/>
              <w:right w:type="dxa" w:w="140"/>
            </w:tcMar>
            <w:vAlign w:val="center"/>
          </w:tcPr>
          <w:p>
            <w:pPr>
              <w:spacing w:after="0" w:line="280"/>
              <w:jc w:val="right"/>
            </w:pPr>
            <w:r>
              <w:rPr>
                <w:b/>
                <w:bCs/>
                <w:color w:val="FFFFFF"/>
                <w:sz w:val="22"/>
                <w:szCs w:val="22"/>
              </w:rPr>
              <w:t xml:space="preserve">≈ 2 225 €</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6B82A" w:sz="4"/>
              <w:left w:val="single" w:color="76B82A" w:sz="32"/>
              <w:bottom w:val="single" w:color="76B82A" w:sz="4"/>
              <w:right w:val="single" w:color="76B82A" w:sz="4"/>
            </w:tcBorders>
            <w:shd w:fill="B2E258" w:val="clear"/>
            <w:tcMar>
              <w:top w:type="dxa" w:w="200"/>
              <w:left w:type="dxa" w:w="260"/>
              <w:bottom w:type="dxa" w:w="200"/>
              <w:right w:type="dxa" w:w="220"/>
            </w:tcMar>
          </w:tcPr>
          <w:p>
            <w:pPr>
              <w:spacing w:after="80"/>
            </w:pPr>
            <w:r>
              <w:rPr>
                <w:b/>
                <w:bCs/>
                <w:color w:val="76B82A"/>
                <w:sz w:val="22"/>
                <w:szCs w:val="22"/>
              </w:rPr>
              <w:t xml:space="preserve">Lecture du scénario 3 — point de bascule SRL</w:t>
            </w:r>
          </w:p>
          <w:p>
            <w:pPr>
              <w:spacing w:after="60" w:line="280"/>
            </w:pPr>
            <w:r>
              <w:rPr>
                <w:color w:val="0D1120"/>
                <w:sz w:val="21"/>
                <w:szCs w:val="21"/>
              </w:rPr>
              <w:t xml:space="preserve">À 70 000 € de bénéfice imposable, la question de la mise en société (SRL) devient économiquement pertinente. La SRL permettrait d'extraire le revenu en rémunération de dirigeant + dividendes (taxation moins lourde sur la partie non distribuée).</w:t>
            </w:r>
          </w:p>
          <w:p>
            <w:pPr>
              <w:spacing w:after="60" w:line="280"/>
            </w:pPr>
            <w:r>
              <w:rPr>
                <w:color w:val="0D1120"/>
                <w:sz w:val="21"/>
                <w:szCs w:val="21"/>
              </w:rPr>
              <w:t xml:space="preserve">Avant d'y aller, deux conditions doivent être réunies : (a) bénéfices stables ≥ 30-40 k€/an sur 2 ans consécutifs, (b) projection de pérennité de l'activité sur 5+ ans.</w:t>
            </w:r>
          </w:p>
          <w:p>
            <w:pPr>
              <w:spacing w:after="60" w:line="280"/>
            </w:pPr>
            <w:r>
              <w:rPr>
                <w:color w:val="0D1120"/>
                <w:sz w:val="21"/>
                <w:szCs w:val="21"/>
              </w:rPr>
              <w:t xml:space="preserve">À cette étape : RDV obligatoire avec ton ou ta comptable pour simulation comparée IPP vs SRL — gain potentiel sur 5 ans : 15 000 à 30 000 €.</w:t>
            </w:r>
          </w:p>
        </w:tc>
      </w:tr>
    </w:tbl>
    <w:p>
      <w:pPr>
        <w:spacing w:after="120"/>
      </w:pPr>
      <w:r>
        <w:t xml:space="preserve"/>
      </w:r>
    </w:p>
    <w:p>
      <w:pPr>
        <w:pStyle w:val="Heading2"/>
        <w:spacing w:after="160" w:before="280"/>
      </w:pPr>
      <w:r>
        <w:t xml:space="preserve">8.5 Synthèse comparée des trois scénarios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pPr>
            <w:r>
              <w:rPr>
                <w:b/>
                <w:bCs/>
                <w:color w:val="FFFFFF"/>
                <w:sz w:val="22"/>
                <w:szCs w:val="22"/>
              </w:rPr>
              <w:t xml:space="preserve">Indicateur</w:t>
            </w:r>
          </w:p>
        </w:tc>
        <w:tc>
          <w:tcPr>
            <w:tcW w:type="dxa" w:w="200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center"/>
            </w:pPr>
            <w:r>
              <w:rPr>
                <w:b/>
                <w:bCs/>
                <w:color w:val="FFFFFF"/>
                <w:sz w:val="22"/>
                <w:szCs w:val="22"/>
              </w:rPr>
              <w:t xml:space="preserve">Scénario 1
Conventionné</w:t>
            </w:r>
          </w:p>
        </w:tc>
        <w:tc>
          <w:tcPr>
            <w:tcW w:type="dxa" w:w="200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center"/>
            </w:pPr>
            <w:r>
              <w:rPr>
                <w:b/>
                <w:bCs/>
                <w:color w:val="FFFFFF"/>
                <w:sz w:val="22"/>
                <w:szCs w:val="22"/>
              </w:rPr>
              <w:t xml:space="preserve">Scénario 2
Déconventionné</w:t>
            </w:r>
          </w:p>
        </w:tc>
        <w:tc>
          <w:tcPr>
            <w:tcW w:type="dxa" w:w="200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center"/>
            </w:pPr>
            <w:r>
              <w:rPr>
                <w:b/>
                <w:bCs/>
                <w:color w:val="FFFFFF"/>
                <w:sz w:val="22"/>
                <w:szCs w:val="22"/>
              </w:rPr>
              <w:t xml:space="preserve">Scénario 3
Croisière</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CA brut annuel</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46 080 €</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60 480 €</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89 100 €</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Bénéfice imposable</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26 795 €</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41 195 €</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69 815 €</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Cotisations INASTI</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5 493 €</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8 445 €</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14 312 €</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IPP additionnel</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10 859 €</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16 685 €</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28 822 €</w:t>
            </w:r>
          </w:p>
        </w:tc>
      </w:tr>
      <w:tr>
        <w:tc>
          <w:tcPr>
            <w:tcW w:type="dxa" w:w="3360"/>
            <w:tcBorders>
              <w:top w:val="single" w:color="BFBFBF" w:sz="4"/>
              <w:left w:val="single" w:color="BFBFBF" w:sz="4"/>
              <w:bottom w:val="single" w:color="BFBFBF" w:sz="4"/>
              <w:right w:val="single" w:color="BFBFBF" w:sz="4"/>
            </w:tcBorders>
            <w:shd w:fill="76B82A" w:val="clear"/>
            <w:tcMar>
              <w:top w:type="dxa" w:w="100"/>
              <w:left w:type="dxa" w:w="140"/>
              <w:bottom w:type="dxa" w:w="100"/>
              <w:right w:type="dxa" w:w="140"/>
            </w:tcMar>
            <w:vAlign w:val="center"/>
          </w:tcPr>
          <w:p>
            <w:pPr>
              <w:spacing w:after="0" w:line="280"/>
            </w:pPr>
            <w:r>
              <w:rPr>
                <w:b/>
                <w:bCs/>
                <w:color w:val="FFFFFF"/>
                <w:sz w:val="22"/>
                <w:szCs w:val="22"/>
              </w:rPr>
              <w:t xml:space="preserve">Net ANNUEL en poche</w:t>
            </w:r>
          </w:p>
        </w:tc>
        <w:tc>
          <w:tcPr>
            <w:tcW w:type="dxa" w:w="2000"/>
            <w:tcBorders>
              <w:top w:val="single" w:color="BFBFBF" w:sz="4"/>
              <w:left w:val="single" w:color="BFBFBF" w:sz="4"/>
              <w:bottom w:val="single" w:color="BFBFBF" w:sz="4"/>
              <w:right w:val="single" w:color="BFBFBF" w:sz="4"/>
            </w:tcBorders>
            <w:shd w:fill="76B82A" w:val="clear"/>
            <w:tcMar>
              <w:top w:type="dxa" w:w="100"/>
              <w:left w:type="dxa" w:w="140"/>
              <w:bottom w:type="dxa" w:w="100"/>
              <w:right w:type="dxa" w:w="140"/>
            </w:tcMar>
            <w:vAlign w:val="center"/>
          </w:tcPr>
          <w:p>
            <w:pPr>
              <w:spacing w:after="0" w:line="280"/>
              <w:jc w:val="center"/>
            </w:pPr>
            <w:r>
              <w:rPr>
                <w:b/>
                <w:bCs/>
                <w:color w:val="FFFFFF"/>
                <w:sz w:val="22"/>
                <w:szCs w:val="22"/>
              </w:rPr>
              <w:t xml:space="preserve">10 443 €</w:t>
            </w:r>
          </w:p>
        </w:tc>
        <w:tc>
          <w:tcPr>
            <w:tcW w:type="dxa" w:w="2000"/>
            <w:tcBorders>
              <w:top w:val="single" w:color="BFBFBF" w:sz="4"/>
              <w:left w:val="single" w:color="BFBFBF" w:sz="4"/>
              <w:bottom w:val="single" w:color="BFBFBF" w:sz="4"/>
              <w:right w:val="single" w:color="BFBFBF" w:sz="4"/>
            </w:tcBorders>
            <w:shd w:fill="76B82A" w:val="clear"/>
            <w:tcMar>
              <w:top w:type="dxa" w:w="100"/>
              <w:left w:type="dxa" w:w="140"/>
              <w:bottom w:type="dxa" w:w="100"/>
              <w:right w:type="dxa" w:w="140"/>
            </w:tcMar>
            <w:vAlign w:val="center"/>
          </w:tcPr>
          <w:p>
            <w:pPr>
              <w:spacing w:after="0" w:line="280"/>
              <w:jc w:val="center"/>
            </w:pPr>
            <w:r>
              <w:rPr>
                <w:b/>
                <w:bCs/>
                <w:color w:val="FFFFFF"/>
                <w:sz w:val="22"/>
                <w:szCs w:val="22"/>
              </w:rPr>
              <w:t xml:space="preserve">16 065 €</w:t>
            </w:r>
          </w:p>
        </w:tc>
        <w:tc>
          <w:tcPr>
            <w:tcW w:type="dxa" w:w="2000"/>
            <w:tcBorders>
              <w:top w:val="single" w:color="BFBFBF" w:sz="4"/>
              <w:left w:val="single" w:color="BFBFBF" w:sz="4"/>
              <w:bottom w:val="single" w:color="BFBFBF" w:sz="4"/>
              <w:right w:val="single" w:color="BFBFBF" w:sz="4"/>
            </w:tcBorders>
            <w:shd w:fill="76B82A" w:val="clear"/>
            <w:tcMar>
              <w:top w:type="dxa" w:w="100"/>
              <w:left w:type="dxa" w:w="140"/>
              <w:bottom w:type="dxa" w:w="100"/>
              <w:right w:type="dxa" w:w="140"/>
            </w:tcMar>
            <w:vAlign w:val="center"/>
          </w:tcPr>
          <w:p>
            <w:pPr>
              <w:spacing w:after="0" w:line="280"/>
              <w:jc w:val="center"/>
            </w:pPr>
            <w:r>
              <w:rPr>
                <w:b/>
                <w:bCs/>
                <w:color w:val="FFFFFF"/>
                <w:sz w:val="22"/>
                <w:szCs w:val="22"/>
              </w:rPr>
              <w:t xml:space="preserve">26 681 €</w:t>
            </w:r>
          </w:p>
        </w:tc>
      </w:tr>
      <w:tr>
        <w:tc>
          <w:tcPr>
            <w:tcW w:type="dxa" w:w="3360"/>
            <w:tcBorders>
              <w:top w:val="single" w:color="BFBFBF" w:sz="4"/>
              <w:left w:val="single" w:color="BFBFBF" w:sz="4"/>
              <w:bottom w:val="single" w:color="BFBFBF" w:sz="4"/>
              <w:right w:val="single" w:color="BFBFBF" w:sz="4"/>
            </w:tcBorders>
            <w:shd w:fill="76B82A" w:val="clear"/>
            <w:tcMar>
              <w:top w:type="dxa" w:w="100"/>
              <w:left w:type="dxa" w:w="140"/>
              <w:bottom w:type="dxa" w:w="100"/>
              <w:right w:type="dxa" w:w="140"/>
            </w:tcMar>
            <w:vAlign w:val="center"/>
          </w:tcPr>
          <w:p>
            <w:pPr>
              <w:spacing w:after="0" w:line="280"/>
            </w:pPr>
            <w:r>
              <w:rPr>
                <w:b/>
                <w:bCs/>
                <w:color w:val="FFFFFF"/>
                <w:sz w:val="22"/>
                <w:szCs w:val="22"/>
              </w:rPr>
              <w:t xml:space="preserve">Net MENSUEL en poche</w:t>
            </w:r>
          </w:p>
        </w:tc>
        <w:tc>
          <w:tcPr>
            <w:tcW w:type="dxa" w:w="2000"/>
            <w:tcBorders>
              <w:top w:val="single" w:color="BFBFBF" w:sz="4"/>
              <w:left w:val="single" w:color="BFBFBF" w:sz="4"/>
              <w:bottom w:val="single" w:color="BFBFBF" w:sz="4"/>
              <w:right w:val="single" w:color="BFBFBF" w:sz="4"/>
            </w:tcBorders>
            <w:shd w:fill="76B82A" w:val="clear"/>
            <w:tcMar>
              <w:top w:type="dxa" w:w="100"/>
              <w:left w:type="dxa" w:w="140"/>
              <w:bottom w:type="dxa" w:w="100"/>
              <w:right w:type="dxa" w:w="140"/>
            </w:tcMar>
            <w:vAlign w:val="center"/>
          </w:tcPr>
          <w:p>
            <w:pPr>
              <w:spacing w:after="0" w:line="280"/>
              <w:jc w:val="center"/>
            </w:pPr>
            <w:r>
              <w:rPr>
                <w:b/>
                <w:bCs/>
                <w:color w:val="FFFFFF"/>
                <w:sz w:val="22"/>
                <w:szCs w:val="22"/>
              </w:rPr>
              <w:t xml:space="preserve">870 €</w:t>
            </w:r>
          </w:p>
        </w:tc>
        <w:tc>
          <w:tcPr>
            <w:tcW w:type="dxa" w:w="2000"/>
            <w:tcBorders>
              <w:top w:val="single" w:color="BFBFBF" w:sz="4"/>
              <w:left w:val="single" w:color="BFBFBF" w:sz="4"/>
              <w:bottom w:val="single" w:color="BFBFBF" w:sz="4"/>
              <w:right w:val="single" w:color="BFBFBF" w:sz="4"/>
            </w:tcBorders>
            <w:shd w:fill="76B82A" w:val="clear"/>
            <w:tcMar>
              <w:top w:type="dxa" w:w="100"/>
              <w:left w:type="dxa" w:w="140"/>
              <w:bottom w:type="dxa" w:w="100"/>
              <w:right w:type="dxa" w:w="140"/>
            </w:tcMar>
            <w:vAlign w:val="center"/>
          </w:tcPr>
          <w:p>
            <w:pPr>
              <w:spacing w:after="0" w:line="280"/>
              <w:jc w:val="center"/>
            </w:pPr>
            <w:r>
              <w:rPr>
                <w:b/>
                <w:bCs/>
                <w:color w:val="FFFFFF"/>
                <w:sz w:val="22"/>
                <w:szCs w:val="22"/>
              </w:rPr>
              <w:t xml:space="preserve">1 340 €</w:t>
            </w:r>
          </w:p>
        </w:tc>
        <w:tc>
          <w:tcPr>
            <w:tcW w:type="dxa" w:w="2000"/>
            <w:tcBorders>
              <w:top w:val="single" w:color="BFBFBF" w:sz="4"/>
              <w:left w:val="single" w:color="BFBFBF" w:sz="4"/>
              <w:bottom w:val="single" w:color="BFBFBF" w:sz="4"/>
              <w:right w:val="single" w:color="BFBFBF" w:sz="4"/>
            </w:tcBorders>
            <w:shd w:fill="76B82A" w:val="clear"/>
            <w:tcMar>
              <w:top w:type="dxa" w:w="100"/>
              <w:left w:type="dxa" w:w="140"/>
              <w:bottom w:type="dxa" w:w="100"/>
              <w:right w:type="dxa" w:w="140"/>
            </w:tcMar>
            <w:vAlign w:val="center"/>
          </w:tcPr>
          <w:p>
            <w:pPr>
              <w:spacing w:after="0" w:line="280"/>
              <w:jc w:val="center"/>
            </w:pPr>
            <w:r>
              <w:rPr>
                <w:b/>
                <w:bCs/>
                <w:color w:val="FFFFFF"/>
                <w:sz w:val="22"/>
                <w:szCs w:val="22"/>
              </w:rPr>
              <w:t xml:space="preserve">2 225 €</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Taux de prélèvement total
(INASTI + IPP / bénéfice)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color w:val="B71C1C"/>
                <w:sz w:val="22"/>
                <w:szCs w:val="22"/>
              </w:rPr>
              <w:t xml:space="preserve">61 %</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color w:val="B71C1C"/>
                <w:sz w:val="22"/>
                <w:szCs w:val="22"/>
              </w:rPr>
              <w:t xml:space="preserve">61 %</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color w:val="B71C1C"/>
                <w:sz w:val="22"/>
                <w:szCs w:val="22"/>
              </w:rPr>
              <w:t xml:space="preserve">62 %</w:t>
            </w:r>
          </w:p>
        </w:tc>
      </w:tr>
    </w:tbl>
    <w:p>
      <w:pPr>
        <w:spacing w:after="120"/>
      </w:pPr>
      <w:r>
        <w:t xml:space="preserve"/>
      </w:r>
    </w:p>
    <w:p>
      <w:r>
        <w:br w:type="page"/>
      </w:r>
    </w:p>
    <w:p>
      <w:pPr>
        <w:pStyle w:val="Heading1"/>
        <w:spacing w:after="200" w:before="360"/>
      </w:pPr>
      <w:r>
        <w:t xml:space="preserve">9. ROI du matériel : quand chaque équipement est-il rentabilisé ?</w:t>
      </w:r>
    </w:p>
    <w:p>
      <w:pPr>
        <w:spacing w:after="120" w:before="0" w:line="300"/>
      </w:pPr>
      <w:r>
        <w:t xml:space="preserve">Question légitime pour cadrer l'investissement initial. On calcule le « point mort » de chaque équipement clé : combien de séances faut-il pour le rentabiliser, en supposant qu'il permet d'attirer / fidéliser des patients qui ne seraient pas venus autrement, ou qui acceptent un supplément spécifique.</w:t>
      </w:r>
    </w:p>
    <w:p>
      <w:pPr>
        <w:pStyle w:val="Heading2"/>
        <w:spacing w:after="160" w:before="280"/>
      </w:pPr>
      <w:r>
        <w:t xml:space="preserve">9.1 Logique de calcul</w:t>
      </w:r>
    </w:p>
    <w:p>
      <w:pPr>
        <w:spacing w:after="120" w:before="0" w:line="300"/>
      </w:pPr>
      <w:r>
        <w:t xml:space="preserve">Trois approches du ROI :</w:t>
      </w:r>
    </w:p>
    <w:p>
      <w:pPr>
        <w:pStyle w:val="ListParagraph"/>
        <w:numPr>
          <w:ilvl w:val="0"/>
          <w:numId w:val="2"/>
        </w:numPr>
        <w:spacing w:after="80" w:line="300"/>
      </w:pPr>
      <w:r>
        <w:t xml:space="preserve">ROI direct (par supplément) : l'équipement justifie un supplément X € par séance. Nombre de séances = Prix matériel ÷ X.</w:t>
      </w:r>
    </w:p>
    <w:p>
      <w:pPr>
        <w:pStyle w:val="ListParagraph"/>
        <w:numPr>
          <w:ilvl w:val="0"/>
          <w:numId w:val="2"/>
        </w:numPr>
        <w:spacing w:after="80" w:line="300"/>
      </w:pPr>
      <w:r>
        <w:t xml:space="preserve">ROI indirect (par effet de pipeline) : l'équipement attire des patients qui n'auraient pas consulté ailleurs. La marge nette d'une séance moyenne déconventionnée (≈ 16 €/séance après tous frais et impôts) finance l'amortissement.</w:t>
      </w:r>
    </w:p>
    <w:p>
      <w:pPr>
        <w:pStyle w:val="ListParagraph"/>
        <w:numPr>
          <w:ilvl w:val="0"/>
          <w:numId w:val="2"/>
        </w:numPr>
        <w:spacing w:after="80" w:line="300"/>
      </w:pPr>
      <w:r>
        <w:t xml:space="preserve">ROI réputationnel : intangible mais réel — différenciation, recommandation ORL, bouche-à-oreille.</w:t>
      </w:r>
    </w:p>
    <w:p>
      <w:pPr>
        <w:pStyle w:val="Heading2"/>
        <w:spacing w:after="160" w:before="280"/>
      </w:pPr>
      <w:r>
        <w:t xml:space="preserve">9.2 Tableau ROI par équipement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950"/>
        <w:gridCol w:w="1950"/>
      </w:tblGrid>
      <w:tr>
        <w:trPr>
          <w:tblHeader/>
        </w:trPr>
        <w:tc>
          <w:tcPr>
            <w:tcW w:type="dxa" w:w="234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pPr>
            <w:r>
              <w:rPr>
                <w:b/>
                <w:bCs/>
                <w:color w:val="FFFFFF"/>
                <w:sz w:val="22"/>
                <w:szCs w:val="22"/>
              </w:rPr>
              <w:t xml:space="preserve">Équipement</w:t>
            </w:r>
          </w:p>
        </w:tc>
        <w:tc>
          <w:tcPr>
            <w:tcW w:type="dxa" w:w="156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center"/>
            </w:pPr>
            <w:r>
              <w:rPr>
                <w:b/>
                <w:bCs/>
                <w:color w:val="FFFFFF"/>
                <w:sz w:val="22"/>
                <w:szCs w:val="22"/>
              </w:rPr>
              <w:t xml:space="preserve">Prix</w:t>
            </w:r>
          </w:p>
        </w:tc>
        <w:tc>
          <w:tcPr>
            <w:tcW w:type="dxa" w:w="156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center"/>
            </w:pPr>
            <w:r>
              <w:rPr>
                <w:b/>
                <w:bCs/>
                <w:color w:val="FFFFFF"/>
                <w:sz w:val="22"/>
                <w:szCs w:val="22"/>
              </w:rPr>
              <w:t xml:space="preserve">Vie utile</w:t>
            </w:r>
          </w:p>
        </w:tc>
        <w:tc>
          <w:tcPr>
            <w:tcW w:type="dxa" w:w="195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center"/>
            </w:pPr>
            <w:r>
              <w:rPr>
                <w:b/>
                <w:bCs/>
                <w:color w:val="FFFFFF"/>
                <w:sz w:val="22"/>
                <w:szCs w:val="22"/>
              </w:rPr>
              <w:t xml:space="preserve">Séances pour amortir</w:t>
            </w:r>
          </w:p>
        </w:tc>
        <w:tc>
          <w:tcPr>
            <w:tcW w:type="dxa" w:w="195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center"/>
            </w:pPr>
            <w:r>
              <w:rPr>
                <w:b/>
                <w:bCs/>
                <w:color w:val="FFFFFF"/>
                <w:sz w:val="22"/>
                <w:szCs w:val="22"/>
              </w:rPr>
              <w:t xml:space="preserve">Durée réaliste</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Lunettes VNS</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3 500 €</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5 ans</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 220 séances (à 16 €/marge)</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b/>
                <w:bCs/>
                <w:color w:val="76B82A"/>
                <w:sz w:val="22"/>
                <w:szCs w:val="22"/>
              </w:rPr>
              <w:t xml:space="preserve">3–4 mois d'activité</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Fauteuil rotatoire TKM</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5 500 €</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10 ans</w:t>
            </w:r>
          </w:p>
        </w:tc>
        <w:tc>
          <w:tcPr>
            <w:tcW w:type="dxa" w:w="195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 345 séances</w:t>
            </w:r>
          </w:p>
        </w:tc>
        <w:tc>
          <w:tcPr>
            <w:tcW w:type="dxa" w:w="195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b/>
                <w:bCs/>
                <w:color w:val="76B82A"/>
                <w:sz w:val="22"/>
                <w:szCs w:val="22"/>
              </w:rPr>
              <w:t xml:space="preserve">5–6 mois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Module VNG kiné</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8 000 €</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5 ans</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 500 séances</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b/>
                <w:bCs/>
                <w:color w:val="B26500"/>
                <w:sz w:val="22"/>
                <w:szCs w:val="22"/>
              </w:rPr>
              <w:t xml:space="preserve">8–10 mois</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Casque VR Virtualis</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10 000 €</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4 ans</w:t>
            </w:r>
          </w:p>
        </w:tc>
        <w:tc>
          <w:tcPr>
            <w:tcW w:type="dxa" w:w="195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 625 séances</w:t>
            </w:r>
          </w:p>
        </w:tc>
        <w:tc>
          <w:tcPr>
            <w:tcW w:type="dxa" w:w="195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b/>
                <w:bCs/>
                <w:color w:val="B26500"/>
                <w:sz w:val="22"/>
                <w:szCs w:val="22"/>
              </w:rPr>
              <w:t xml:space="preserve">10–12 mois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Plateforme posturographique</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20 000 €</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10 ans</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 1 250 séances</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b/>
                <w:bCs/>
                <w:color w:val="B71C1C"/>
                <w:sz w:val="22"/>
                <w:szCs w:val="22"/>
              </w:rPr>
              <w:t xml:space="preserve">18–24 mois</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Fauteuil motorisé Framiral</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18 000 €</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10 ans</w:t>
            </w:r>
          </w:p>
        </w:tc>
        <w:tc>
          <w:tcPr>
            <w:tcW w:type="dxa" w:w="195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 1 125 séances</w:t>
            </w:r>
          </w:p>
        </w:tc>
        <w:tc>
          <w:tcPr>
            <w:tcW w:type="dxa" w:w="195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b/>
                <w:bCs/>
                <w:color w:val="B71C1C"/>
                <w:sz w:val="22"/>
                <w:szCs w:val="22"/>
              </w:rPr>
              <w:t xml:space="preserve">16–20 mois</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1F52" w:sz="4"/>
              <w:left w:val="single" w:color="1A1F52" w:sz="32"/>
              <w:bottom w:val="single" w:color="1A1F52" w:sz="4"/>
              <w:right w:val="single" w:color="1A1F52" w:sz="4"/>
            </w:tcBorders>
            <w:shd w:fill="E8EAFA" w:val="clear"/>
            <w:tcMar>
              <w:top w:type="dxa" w:w="200"/>
              <w:left w:type="dxa" w:w="260"/>
              <w:bottom w:type="dxa" w:w="200"/>
              <w:right w:type="dxa" w:w="220"/>
            </w:tcMar>
          </w:tcPr>
          <w:p>
            <w:pPr>
              <w:spacing w:after="80"/>
            </w:pPr>
            <w:r>
              <w:rPr>
                <w:b/>
                <w:bCs/>
                <w:color w:val="1A1F52"/>
                <w:sz w:val="22"/>
                <w:szCs w:val="22"/>
              </w:rPr>
              <w:t xml:space="preserve">Lecture du ROI</w:t>
            </w:r>
          </w:p>
          <w:p>
            <w:pPr>
              <w:spacing w:after="60" w:line="280"/>
            </w:pPr>
            <w:r>
              <w:rPr>
                <w:color w:val="0D1120"/>
                <w:sz w:val="21"/>
                <w:szCs w:val="21"/>
              </w:rPr>
              <w:t xml:space="preserve">Hypothèse de calcul : 16 € de marge nette moyenne par séance déconventionnée (après rétrocession, charges, INASTI et IPP).</w:t>
            </w:r>
          </w:p>
          <w:p>
            <w:pPr>
              <w:spacing w:after="60" w:line="280"/>
            </w:pPr>
            <w:r>
              <w:rPr>
                <w:color w:val="0D1120"/>
                <w:sz w:val="21"/>
                <w:szCs w:val="21"/>
              </w:rPr>
              <w:t xml:space="preserve">Verts (&lt; 6 mois) : achats sans débat, ROI rapide. Lunettes VNS + table d'examen.</w:t>
            </w:r>
          </w:p>
          <w:p>
            <w:pPr>
              <w:spacing w:after="60" w:line="280"/>
            </w:pPr>
            <w:r>
              <w:rPr>
                <w:color w:val="0D1120"/>
                <w:sz w:val="21"/>
                <w:szCs w:val="21"/>
              </w:rPr>
              <w:t xml:space="preserve">Oranges (8-12 mois) : justifient un déconventionnement avec supplément. Achats à temporiser au mois 6-9 selon la dynamique.</w:t>
            </w:r>
          </w:p>
          <w:p>
            <w:pPr>
              <w:spacing w:after="60" w:line="280"/>
            </w:pPr>
            <w:r>
              <w:rPr>
                <w:color w:val="0D1120"/>
                <w:sz w:val="21"/>
                <w:szCs w:val="21"/>
              </w:rPr>
              <w:t xml:space="preserve">Rouges (16-24 mois) : à n'envisager qu'après stabilisation de l'activité ET projet stratégique clair (centre vestibulaire DG).</w:t>
            </w:r>
          </w:p>
        </w:tc>
      </w:tr>
    </w:tbl>
    <w:p>
      <w:r>
        <w:br w:type="page"/>
      </w:r>
    </w:p>
    <w:p>
      <w:pPr>
        <w:pStyle w:val="Heading1"/>
        <w:spacing w:after="200" w:before="360"/>
      </w:pPr>
      <w:r>
        <w:t xml:space="preserve">10. Vision honnête : avantages, risques et angles morts</w:t>
      </w:r>
    </w:p>
    <w:p>
      <w:pPr>
        <w:spacing w:after="120" w:before="0" w:line="300"/>
      </w:pPr>
      <w:r>
        <w:t xml:space="preserve">Pour décider en conscience, voici les éléments du dossier que les brochures et les caisses sociales ne mettent jamais en avant.</w:t>
      </w:r>
    </w:p>
    <w:p>
      <w:pPr>
        <w:pStyle w:val="Heading2"/>
        <w:spacing w:after="160" w:before="280"/>
      </w:pPr>
      <w:r>
        <w:t xml:space="preserve">10.1 Avantages réels et tangibles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6B82A" w:sz="4"/>
              <w:left w:val="single" w:color="76B82A" w:sz="32"/>
              <w:bottom w:val="single" w:color="76B82A" w:sz="4"/>
              <w:right w:val="single" w:color="76B82A" w:sz="4"/>
            </w:tcBorders>
            <w:shd w:fill="B2E258" w:val="clear"/>
            <w:tcMar>
              <w:top w:type="dxa" w:w="200"/>
              <w:left w:type="dxa" w:w="260"/>
              <w:bottom w:type="dxa" w:w="200"/>
              <w:right w:type="dxa" w:w="220"/>
            </w:tcMar>
          </w:tcPr>
          <w:p>
            <w:pPr>
              <w:spacing w:after="80"/>
            </w:pPr>
            <w:r>
              <w:rPr>
                <w:b/>
                <w:bCs/>
                <w:color w:val="76B82A"/>
                <w:sz w:val="22"/>
                <w:szCs w:val="22"/>
              </w:rPr>
              <w:t xml:space="preserve">Liberté clinique</w:t>
            </w:r>
          </w:p>
          <w:p>
            <w:pPr>
              <w:spacing w:after="60" w:line="280"/>
            </w:pPr>
            <w:r>
              <w:rPr>
                <w:color w:val="0D1120"/>
                <w:sz w:val="21"/>
                <w:szCs w:val="21"/>
              </w:rPr>
              <w:t xml:space="preserve">Au cabinet, tu décides du temps de séance, de la fréquence, de l'orientation thérapeutique. Plus de cadre INAMI strict sur la durée, plus de pression productiviste hospitalière sur les statistiques. C'est probablement le gain le plus durable du basculement en indépendant.</w:t>
            </w:r>
          </w:p>
          <w:p>
            <w:pPr>
              <w:spacing w:after="60" w:line="280"/>
            </w:pPr>
            <w:r>
              <w:rPr>
                <w:color w:val="0D1120"/>
                <w:sz w:val="21"/>
                <w:szCs w:val="21"/>
              </w:rPr>
              <w:t xml:space="preserve">Tu peux développer une vraie cohérence biopsychosocial / EBP : éducation thérapeutique, neurosciences, intégration de la VR — choses difficiles à appliquer à 100 % dans un service hospitalier multipraticien.</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6B82A" w:sz="4"/>
              <w:left w:val="single" w:color="76B82A" w:sz="32"/>
              <w:bottom w:val="single" w:color="76B82A" w:sz="4"/>
              <w:right w:val="single" w:color="76B82A" w:sz="4"/>
            </w:tcBorders>
            <w:shd w:fill="B2E258" w:val="clear"/>
            <w:tcMar>
              <w:top w:type="dxa" w:w="200"/>
              <w:left w:type="dxa" w:w="260"/>
              <w:bottom w:type="dxa" w:w="200"/>
              <w:right w:type="dxa" w:w="220"/>
            </w:tcMar>
          </w:tcPr>
          <w:p>
            <w:pPr>
              <w:spacing w:after="80"/>
            </w:pPr>
            <w:r>
              <w:rPr>
                <w:b/>
                <w:bCs/>
                <w:color w:val="76B82A"/>
                <w:sz w:val="22"/>
                <w:szCs w:val="22"/>
              </w:rPr>
              <w:t xml:space="preserve">Différenciation par la spécialité</w:t>
            </w:r>
          </w:p>
          <w:p>
            <w:pPr>
              <w:spacing w:after="60" w:line="280"/>
            </w:pPr>
            <w:r>
              <w:rPr>
                <w:color w:val="0D1120"/>
                <w:sz w:val="21"/>
                <w:szCs w:val="21"/>
              </w:rPr>
              <w:t xml:space="preserve">Le vestibulaire est une niche cliniquement valorisée, pédagogiquement riche, et avec une demande structurelle (population vieillissante, ORL très actifs). À Eupen et en DG, la concurrence directe est faible.</w:t>
            </w:r>
          </w:p>
          <w:p>
            <w:pPr>
              <w:spacing w:after="60" w:line="280"/>
            </w:pPr>
            <w:r>
              <w:rPr>
                <w:color w:val="0D1120"/>
                <w:sz w:val="21"/>
                <w:szCs w:val="21"/>
              </w:rPr>
              <w:t xml:space="preserve">Le pipeline ORL est une rente d'orientation : si tu cultives bien les relations avec les confrères ORL, ils t'envoient automatiquement leurs cas. Tu n'as pas à faire de marketing actif intensif.</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6B82A" w:sz="4"/>
              <w:left w:val="single" w:color="76B82A" w:sz="32"/>
              <w:bottom w:val="single" w:color="76B82A" w:sz="4"/>
              <w:right w:val="single" w:color="76B82A" w:sz="4"/>
            </w:tcBorders>
            <w:shd w:fill="B2E258" w:val="clear"/>
            <w:tcMar>
              <w:top w:type="dxa" w:w="200"/>
              <w:left w:type="dxa" w:w="260"/>
              <w:bottom w:type="dxa" w:w="200"/>
              <w:right w:type="dxa" w:w="220"/>
            </w:tcMar>
          </w:tcPr>
          <w:p>
            <w:pPr>
              <w:spacing w:after="80"/>
            </w:pPr>
            <w:r>
              <w:rPr>
                <w:b/>
                <w:bCs/>
                <w:color w:val="76B82A"/>
                <w:sz w:val="22"/>
                <w:szCs w:val="22"/>
              </w:rPr>
              <w:t xml:space="preserve">Sécurité du modèle hybride</w:t>
            </w:r>
          </w:p>
          <w:p>
            <w:pPr>
              <w:spacing w:after="60" w:line="280"/>
            </w:pPr>
            <w:r>
              <w:rPr>
                <w:color w:val="0D1120"/>
                <w:sz w:val="21"/>
                <w:szCs w:val="21"/>
              </w:rPr>
              <w:t xml:space="preserve">Tu gardes ton salaire hôpital, ta sécurité sociale, ta pension. L'activité indépendante vient EN PLUS. Si elle ne décolle pas comme prévu, le coût d'arrêt est minimal (revente matériel, fermeture BCE).</w:t>
            </w:r>
          </w:p>
          <w:p>
            <w:pPr>
              <w:spacing w:after="60" w:line="280"/>
            </w:pPr>
            <w:r>
              <w:rPr>
                <w:color w:val="0D1120"/>
                <w:sz w:val="21"/>
                <w:szCs w:val="21"/>
              </w:rPr>
              <w:t xml:space="preserve">C'est la formule idéale pour tester un modèle économique sans risque existentiel — bien plus que de démissionner pour devenir indépendant principal d'emblée.</w:t>
            </w:r>
          </w:p>
        </w:tc>
      </w:tr>
    </w:tbl>
    <w:p>
      <w:pPr>
        <w:spacing w:after="120"/>
      </w:pPr>
      <w:r>
        <w:t xml:space="preserve"/>
      </w:r>
    </w:p>
    <w:p>
      <w:pPr>
        <w:pStyle w:val="Heading2"/>
        <w:spacing w:after="160" w:before="280"/>
      </w:pPr>
      <w:r>
        <w:t xml:space="preserve">10.2 Risques et angles morts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1C1C" w:sz="4"/>
              <w:left w:val="single" w:color="B71C1C" w:sz="32"/>
              <w:bottom w:val="single" w:color="B71C1C" w:sz="4"/>
              <w:right w:val="single" w:color="B71C1C" w:sz="4"/>
            </w:tcBorders>
            <w:shd w:fill="FFEBEE" w:val="clear"/>
            <w:tcMar>
              <w:top w:type="dxa" w:w="200"/>
              <w:left w:type="dxa" w:w="260"/>
              <w:bottom w:type="dxa" w:w="200"/>
              <w:right w:type="dxa" w:w="220"/>
            </w:tcMar>
          </w:tcPr>
          <w:p>
            <w:pPr>
              <w:spacing w:after="80"/>
            </w:pPr>
            <w:r>
              <w:rPr>
                <w:b/>
                <w:bCs/>
                <w:color w:val="B71C1C"/>
                <w:sz w:val="22"/>
                <w:szCs w:val="22"/>
              </w:rPr>
              <w:t xml:space="preserve">Risque #1 — La fiscalité marginale</w:t>
            </w:r>
          </w:p>
          <w:p>
            <w:pPr>
              <w:spacing w:after="60" w:line="280"/>
            </w:pPr>
            <w:r>
              <w:rPr>
                <w:color w:val="0D1120"/>
                <w:sz w:val="21"/>
                <w:szCs w:val="21"/>
              </w:rPr>
              <w:t xml:space="preserve">Comme illustré dans la simulation, chaque euro de bénéfice indépendant est taxé à 60-62 % (INASTI + IPP + communale).</w:t>
            </w:r>
          </w:p>
          <w:p>
            <w:pPr>
              <w:spacing w:after="60" w:line="280"/>
            </w:pPr>
            <w:r>
              <w:rPr>
                <w:color w:val="0D1120"/>
                <w:sz w:val="21"/>
                <w:szCs w:val="21"/>
              </w:rPr>
              <w:t xml:space="preserve">Sur 60 000 € de CA, il ne reste que ~1 300 €/mois en poche. Le rapport effort/revenu net est faible tant que tu cumules avec un gros salaire.</w:t>
            </w:r>
          </w:p>
          <w:p>
            <w:pPr>
              <w:spacing w:after="60" w:line="280"/>
            </w:pPr>
            <w:r>
              <w:rPr>
                <w:color w:val="0D1120"/>
                <w:sz w:val="21"/>
                <w:szCs w:val="21"/>
              </w:rPr>
              <w:t xml:space="preserve">Stratégie d'atténuation : maximiser PLCI, amortissements, frais réels, et basculer en SRL dès que le bénéfice stabilise.</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1C1C" w:sz="4"/>
              <w:left w:val="single" w:color="B71C1C" w:sz="32"/>
              <w:bottom w:val="single" w:color="B71C1C" w:sz="4"/>
              <w:right w:val="single" w:color="B71C1C" w:sz="4"/>
            </w:tcBorders>
            <w:shd w:fill="FFEBEE" w:val="clear"/>
            <w:tcMar>
              <w:top w:type="dxa" w:w="200"/>
              <w:left w:type="dxa" w:w="260"/>
              <w:bottom w:type="dxa" w:w="200"/>
              <w:right w:type="dxa" w:w="220"/>
            </w:tcMar>
          </w:tcPr>
          <w:p>
            <w:pPr>
              <w:spacing w:after="80"/>
            </w:pPr>
            <w:r>
              <w:rPr>
                <w:b/>
                <w:bCs/>
                <w:color w:val="B71C1C"/>
                <w:sz w:val="22"/>
                <w:szCs w:val="22"/>
              </w:rPr>
              <w:t xml:space="preserve">Risque #2 — La charge mentale du double rôle</w:t>
            </w:r>
          </w:p>
          <w:p>
            <w:pPr>
              <w:spacing w:after="60" w:line="280"/>
            </w:pPr>
            <w:r>
              <w:rPr>
                <w:color w:val="0D1120"/>
                <w:sz w:val="21"/>
                <w:szCs w:val="21"/>
              </w:rPr>
              <w:t xml:space="preserve">Travailler 75 % à l'hôpital + 4 après-midi en cabinet = 50 à 55 heures/semaine effectives en moyenne. C'est viable, mais épuisant sur la durée si pas de récupération active.</w:t>
            </w:r>
          </w:p>
          <w:p>
            <w:pPr>
              <w:spacing w:after="60" w:line="280"/>
            </w:pPr>
            <w:r>
              <w:rPr>
                <w:color w:val="0D1120"/>
                <w:sz w:val="21"/>
                <w:szCs w:val="21"/>
              </w:rPr>
              <w:t xml:space="preserve">Le burn-out est un risque réel chez les kinés indépendants complémentaires qui surchargent par souci de rentabiliser le matériel. Garder le vendredi après-midi libre est une décision défensive, pas un luxe.</w:t>
            </w:r>
          </w:p>
          <w:p>
            <w:pPr>
              <w:spacing w:after="60" w:line="280"/>
            </w:pPr>
            <w:r>
              <w:rPr>
                <w:color w:val="0D1120"/>
                <w:sz w:val="21"/>
                <w:szCs w:val="21"/>
              </w:rPr>
              <w:t xml:space="preserve">Surveille en continu : sommeil, vie sociale, charge cognitive — la kiné vestibulaire est intellectuellement exigeante (raisonnement diagnostic, manœuvres techniques précises).</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1C1C" w:sz="4"/>
              <w:left w:val="single" w:color="B71C1C" w:sz="32"/>
              <w:bottom w:val="single" w:color="B71C1C" w:sz="4"/>
              <w:right w:val="single" w:color="B71C1C" w:sz="4"/>
            </w:tcBorders>
            <w:shd w:fill="FFEBEE" w:val="clear"/>
            <w:tcMar>
              <w:top w:type="dxa" w:w="200"/>
              <w:left w:type="dxa" w:w="260"/>
              <w:bottom w:type="dxa" w:w="200"/>
              <w:right w:type="dxa" w:w="220"/>
            </w:tcMar>
          </w:tcPr>
          <w:p>
            <w:pPr>
              <w:spacing w:after="80"/>
            </w:pPr>
            <w:r>
              <w:rPr>
                <w:b/>
                <w:bCs/>
                <w:color w:val="B71C1C"/>
                <w:sz w:val="22"/>
                <w:szCs w:val="22"/>
              </w:rPr>
              <w:t xml:space="preserve">Risque #3 — Dépendance au pipeline ORL</w:t>
            </w:r>
          </w:p>
          <w:p>
            <w:pPr>
              <w:spacing w:after="60" w:line="280"/>
            </w:pPr>
            <w:r>
              <w:rPr>
                <w:color w:val="0D1120"/>
                <w:sz w:val="21"/>
                <w:szCs w:val="21"/>
              </w:rPr>
              <w:t xml:space="preserve">Ton modèle économique repose lourdement sur les références ORL. Si un ORL clé part en retraite, si une clinique de référence change ses orientations, ton flux peut chuter brutalement.</w:t>
            </w:r>
          </w:p>
          <w:p>
            <w:pPr>
              <w:spacing w:after="60" w:line="280"/>
            </w:pPr>
            <w:r>
              <w:rPr>
                <w:color w:val="0D1120"/>
                <w:sz w:val="21"/>
                <w:szCs w:val="21"/>
              </w:rPr>
              <w:t xml:space="preserve">Atténuation : diversifie les ORL prescripteurs dès le départ (minimum 3-4 confrères), construis une visibilité directe (site Praxis Loten + Google Business + Doctolib éventuellement), et développe un noyau patient propre (presbyvestibulie, mal des transports, équilibre du sportif).</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500" w:sz="4"/>
              <w:left w:val="single" w:color="B26500" w:sz="32"/>
              <w:bottom w:val="single" w:color="B26500" w:sz="4"/>
              <w:right w:val="single" w:color="B26500" w:sz="4"/>
            </w:tcBorders>
            <w:shd w:fill="FFF4E0" w:val="clear"/>
            <w:tcMar>
              <w:top w:type="dxa" w:w="200"/>
              <w:left w:type="dxa" w:w="260"/>
              <w:bottom w:type="dxa" w:w="200"/>
              <w:right w:type="dxa" w:w="220"/>
            </w:tcMar>
          </w:tcPr>
          <w:p>
            <w:pPr>
              <w:spacing w:after="80"/>
            </w:pPr>
            <w:r>
              <w:rPr>
                <w:b/>
                <w:bCs/>
                <w:color w:val="B26500"/>
                <w:sz w:val="22"/>
                <w:szCs w:val="22"/>
              </w:rPr>
              <w:t xml:space="preserve">Risque #4 — Vacances et arrêts maladie non payés</w:t>
            </w:r>
          </w:p>
          <w:p>
            <w:pPr>
              <w:spacing w:after="60" w:line="280"/>
            </w:pPr>
            <w:r>
              <w:rPr>
                <w:color w:val="0D1120"/>
                <w:sz w:val="21"/>
                <w:szCs w:val="21"/>
              </w:rPr>
              <w:t xml:space="preserve">Toute journée sans patient = 0 € de CA, mais charges fixes qui courent (rétrocession Praxis Loten, comptable, RC pro).</w:t>
            </w:r>
          </w:p>
          <w:p>
            <w:pPr>
              <w:spacing w:after="60" w:line="280"/>
            </w:pPr>
            <w:r>
              <w:rPr>
                <w:color w:val="0D1120"/>
                <w:sz w:val="21"/>
                <w:szCs w:val="21"/>
              </w:rPr>
              <w:t xml:space="preserve">Maladie : la mutuelle indépendante intervient après 1 mois en complémentaire, et le montant est faible. Heureusement ton statut salarié à l'hôpital reste ton filet.</w:t>
            </w:r>
          </w:p>
          <w:p>
            <w:pPr>
              <w:spacing w:after="60" w:line="280"/>
            </w:pPr>
            <w:r>
              <w:rPr>
                <w:color w:val="0D1120"/>
                <w:sz w:val="21"/>
                <w:szCs w:val="21"/>
              </w:rPr>
              <w:t xml:space="preserve">Provisionne un fonds de roulement équivalent à 2 mois de charges fixes (≈ 1 800-2 200 €) sur un compte épargne dédié dès le premier mois.</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500" w:sz="4"/>
              <w:left w:val="single" w:color="B26500" w:sz="32"/>
              <w:bottom w:val="single" w:color="B26500" w:sz="4"/>
              <w:right w:val="single" w:color="B26500" w:sz="4"/>
            </w:tcBorders>
            <w:shd w:fill="FFF4E0" w:val="clear"/>
            <w:tcMar>
              <w:top w:type="dxa" w:w="200"/>
              <w:left w:type="dxa" w:w="260"/>
              <w:bottom w:type="dxa" w:w="200"/>
              <w:right w:type="dxa" w:w="220"/>
            </w:tcMar>
          </w:tcPr>
          <w:p>
            <w:pPr>
              <w:spacing w:after="80"/>
            </w:pPr>
            <w:r>
              <w:rPr>
                <w:b/>
                <w:bCs/>
                <w:color w:val="B26500"/>
                <w:sz w:val="22"/>
                <w:szCs w:val="22"/>
              </w:rPr>
              <w:t xml:space="preserve">Risque #5 — Le matériel vestibulaire vieillit vite</w:t>
            </w:r>
          </w:p>
          <w:p>
            <w:pPr>
              <w:spacing w:after="60" w:line="280"/>
            </w:pPr>
            <w:r>
              <w:rPr>
                <w:color w:val="0D1120"/>
                <w:sz w:val="21"/>
                <w:szCs w:val="21"/>
              </w:rPr>
              <w:t xml:space="preserve">Les casques VR évoluent rapidement (cycles 3-4 ans). Les modules VNG logiciels nécessitent des mises à jour payantes. La maintenance des fauteuils rotatoires est minime, mais celle de l'électronique non.</w:t>
            </w:r>
          </w:p>
          <w:p>
            <w:pPr>
              <w:spacing w:after="60" w:line="280"/>
            </w:pPr>
            <w:r>
              <w:rPr>
                <w:color w:val="0D1120"/>
                <w:sz w:val="21"/>
                <w:szCs w:val="21"/>
              </w:rPr>
              <w:t xml:space="preserve">Prévois un budget de renouvellement : 10-15 % du capital matériel chaque année, à provisionner.</w:t>
            </w:r>
          </w:p>
        </w:tc>
      </w:tr>
    </w:tbl>
    <w:p>
      <w:pPr>
        <w:spacing w:after="120"/>
      </w:pPr>
      <w:r>
        <w:t xml:space="preserve"/>
      </w:r>
    </w:p>
    <w:p>
      <w:pPr>
        <w:pStyle w:val="Heading2"/>
        <w:spacing w:after="160" w:before="280"/>
      </w:pPr>
      <w:r>
        <w:t xml:space="preserve">10.3 Question qu'il faut se poser franchement</w:t>
      </w:r>
    </w:p>
    <w:p>
      <w:pPr>
        <w:spacing w:after="120" w:before="0" w:line="300"/>
      </w:pPr>
      <w:r>
        <w:t xml:space="preserve">Avant de signer le moindre devis matériel ou de t'inscrire à la BCE, prends 30 minutes pour répondre honnêtement à ces questions :</w:t>
      </w:r>
    </w:p>
    <w:p>
      <w:pPr>
        <w:pStyle w:val="ListParagraph"/>
        <w:numPr>
          <w:ilvl w:val="0"/>
          <w:numId w:val="3"/>
        </w:numPr>
        <w:spacing w:after="80" w:line="300"/>
      </w:pPr>
      <w:r>
        <w:t xml:space="preserve">Est-ce que je veux vraiment 4 après-midi de travail clinique en plus par semaine, sachant que mes matinées hôpital seront déjà intenses ?</w:t>
      </w:r>
    </w:p>
    <w:p>
      <w:pPr>
        <w:pStyle w:val="ListParagraph"/>
        <w:numPr>
          <w:ilvl w:val="0"/>
          <w:numId w:val="3"/>
        </w:numPr>
        <w:spacing w:after="80" w:line="300"/>
      </w:pPr>
      <w:r>
        <w:t xml:space="preserve">Suis-je à l'aise avec la dimension entrepreneuriale (devis, négociation, gestion administrative, relation patient sans cadre hospitalier) ?</w:t>
      </w:r>
    </w:p>
    <w:p>
      <w:pPr>
        <w:pStyle w:val="ListParagraph"/>
        <w:numPr>
          <w:ilvl w:val="0"/>
          <w:numId w:val="3"/>
        </w:numPr>
        <w:spacing w:after="80" w:line="300"/>
      </w:pPr>
      <w:r>
        <w:t xml:space="preserve">Si l'activité ne génère que 800-1 200 €/mois nets en première année (réaliste), suis-je toujours motivée pour le faire ? Pour quelles raisons ? (apprentissage, identité professionnelle, projet long terme, autonomie...)</w:t>
      </w:r>
    </w:p>
    <w:p>
      <w:pPr>
        <w:pStyle w:val="ListParagraph"/>
        <w:numPr>
          <w:ilvl w:val="0"/>
          <w:numId w:val="3"/>
        </w:numPr>
        <w:spacing w:after="80" w:line="300"/>
      </w:pPr>
      <w:r>
        <w:t xml:space="preserve">Ai-je un projet d'évolution à 3-5 ans : monter en charge progressive, créer un centre vestibulaire, basculer en indépendante principale ?</w:t>
      </w:r>
    </w:p>
    <w:p>
      <w:pPr>
        <w:pStyle w:val="ListParagraph"/>
        <w:numPr>
          <w:ilvl w:val="0"/>
          <w:numId w:val="3"/>
        </w:numPr>
        <w:spacing w:after="80" w:line="300"/>
      </w:pPr>
      <w:r>
        <w:t xml:space="preserve">Mon entourage personnel soutient-il le projet, ou la charge supplémentaire va-t-elle créer des tensions ?</w:t>
      </w:r>
    </w:p>
    <w:p>
      <w:pPr>
        <w:spacing w:after="120"/>
      </w:pPr>
      <w:r>
        <w:t xml:space="preserve"/>
      </w:r>
    </w:p>
    <w:p>
      <w:pPr>
        <w:spacing w:after="120" w:before="0" w:line="300"/>
      </w:pPr>
      <w:r>
        <w:rPr>
          <w:b/>
          <w:bCs/>
        </w:rPr>
        <w:t xml:space="preserve">Mon avis personnel (Philippe) : </w:t>
      </w:r>
      <w:r>
        <w:t xml:space="preserve">ton positionnement clinique est solide et la niche vestibulaire est réellement porteuse à Eupen. Le risque économique est limité par ton emploi salarié. Le piège principal est la sur-acquisition de matériel en année 1 et la sous-estimation du coût mental du double rôle. Si tu démarres avec le Pack A (13 500 €), 3 après-midi/semaine la première année, et que tu observes la dynamique avant d'accélérer, c'est un projet viable et probablement rentable à 18-24 mois.</w:t>
      </w:r>
    </w:p>
    <w:p>
      <w:r>
        <w:br w:type="page"/>
      </w:r>
    </w:p>
    <w:p>
      <w:pPr>
        <w:pStyle w:val="Heading1"/>
        <w:spacing w:after="200" w:before="360"/>
      </w:pPr>
      <w:r>
        <w:t xml:space="preserve">11. Feuille de route opérationnelle</w:t>
      </w:r>
    </w:p>
    <w:p>
      <w:pPr>
        <w:spacing w:after="120" w:before="0" w:line="300"/>
      </w:pPr>
      <w:r>
        <w:t xml:space="preserve">Une fois la décision prise, voici la chronologie réaliste pour passer de la décision à la première facturation, puis à la stabilisation à 12 mois.</w:t>
      </w:r>
    </w:p>
    <w:p>
      <w:pPr>
        <w:pStyle w:val="Heading2"/>
        <w:spacing w:after="160" w:before="280"/>
      </w:pPr>
      <w:r>
        <w:t xml:space="preserve">11.1 Phase 1 — Préparation (mois 0)</w:t>
      </w:r>
    </w:p>
    <w:p>
      <w:pPr>
        <w:pStyle w:val="ListParagraph"/>
        <w:numPr>
          <w:ilvl w:val="0"/>
          <w:numId w:val="2"/>
        </w:numPr>
        <w:spacing w:after="80" w:line="300"/>
      </w:pPr>
      <w:r>
        <w:t xml:space="preserve">Semaine 1-2 : RDV avec ton ou ta comptable (comptable). Validation de la simulation, choix régime fiscal (frais réels prévus), discussion primostarter.</w:t>
      </w:r>
    </w:p>
    <w:p>
      <w:pPr>
        <w:pStyle w:val="ListParagraph"/>
        <w:numPr>
          <w:ilvl w:val="0"/>
          <w:numId w:val="2"/>
        </w:numPr>
        <w:spacing w:after="80" w:line="300"/>
      </w:pPr>
      <w:r>
        <w:t xml:space="preserve">Semaine 2 : RDV avec Laurent Stassart (CBC) pour ouverture compte pro + estimation financement matériel (crédit professionnel à 4-5 % sur 5 ans probable, ou achat cash si trésorerie suffisante).</w:t>
      </w:r>
    </w:p>
    <w:p>
      <w:pPr>
        <w:pStyle w:val="ListParagraph"/>
        <w:numPr>
          <w:ilvl w:val="0"/>
          <w:numId w:val="2"/>
        </w:numPr>
        <w:spacing w:after="80" w:line="300"/>
      </w:pPr>
      <w:r>
        <w:t xml:space="preserve">Semaine 2-3 : choix concret du matériel — devis Pack A ou Pack B chez 2-3 fournisseurs (Proxymed Belgique, Rehamat Store, Virtualis VR).</w:t>
      </w:r>
    </w:p>
    <w:p>
      <w:pPr>
        <w:pStyle w:val="ListParagraph"/>
        <w:numPr>
          <w:ilvl w:val="0"/>
          <w:numId w:val="2"/>
        </w:numPr>
        <w:spacing w:after="80" w:line="300"/>
      </w:pPr>
      <w:r>
        <w:t xml:space="preserve">Semaine 3 : signature convention de collaboration Praxis Loten — modèle existant Tom/Loïc/Félix à adapter.</w:t>
      </w:r>
    </w:p>
    <w:p>
      <w:pPr>
        <w:pStyle w:val="ListParagraph"/>
        <w:numPr>
          <w:ilvl w:val="0"/>
          <w:numId w:val="2"/>
        </w:numPr>
        <w:spacing w:after="80" w:line="300"/>
      </w:pPr>
      <w:r>
        <w:t xml:space="preserve">Semaine 4 : commande matériel essentiel (lunettes VNS, fauteuil, table, mousses).</w:t>
      </w:r>
    </w:p>
    <w:p>
      <w:pPr>
        <w:spacing w:after="120"/>
      </w:pPr>
      <w:r>
        <w:t xml:space="preserve"/>
      </w:r>
    </w:p>
    <w:p>
      <w:pPr>
        <w:pStyle w:val="Heading2"/>
        <w:spacing w:after="160" w:before="280"/>
      </w:pPr>
      <w:r>
        <w:t xml:space="preserve">11.2 Phase 2 — Lancement administratif (mois 1)</w:t>
      </w:r>
    </w:p>
    <w:p>
      <w:pPr>
        <w:pStyle w:val="ListParagraph"/>
        <w:numPr>
          <w:ilvl w:val="0"/>
          <w:numId w:val="2"/>
        </w:numPr>
        <w:spacing w:after="80" w:line="300"/>
      </w:pPr>
      <w:r>
        <w:t xml:space="preserve">Semaine 1 : inscription BCE via guichet d'entreprise (Liantis ou UCM).</w:t>
      </w:r>
    </w:p>
    <w:p>
      <w:pPr>
        <w:pStyle w:val="ListParagraph"/>
        <w:numPr>
          <w:ilvl w:val="0"/>
          <w:numId w:val="2"/>
        </w:numPr>
        <w:spacing w:after="80" w:line="300"/>
      </w:pPr>
      <w:r>
        <w:t xml:space="preserve">Semaine 1 : affiliation caisse d'assurances sociales (même guichet) — régime primostarter demandé explicitement.</w:t>
      </w:r>
    </w:p>
    <w:p>
      <w:pPr>
        <w:pStyle w:val="ListParagraph"/>
        <w:numPr>
          <w:ilvl w:val="0"/>
          <w:numId w:val="2"/>
        </w:numPr>
        <w:spacing w:after="80" w:line="300"/>
      </w:pPr>
      <w:r>
        <w:t xml:space="preserve">Semaine 1-2 : notification INAMI nouveau lieu d'exercice + adhésion convention M/25 (ou non-adhésion si déconventionnement choisi — délai 15 décembre pour année suivante).</w:t>
      </w:r>
    </w:p>
    <w:p>
      <w:pPr>
        <w:pStyle w:val="ListParagraph"/>
        <w:numPr>
          <w:ilvl w:val="0"/>
          <w:numId w:val="2"/>
        </w:numPr>
        <w:spacing w:after="80" w:line="300"/>
      </w:pPr>
      <w:r>
        <w:t xml:space="preserve">Semaine 2 : assurance RC pro (libre choix : AG, CBC, Ethias, AMMA, Vivium...).</w:t>
      </w:r>
    </w:p>
    <w:p>
      <w:pPr>
        <w:pStyle w:val="ListParagraph"/>
        <w:numPr>
          <w:ilvl w:val="0"/>
          <w:numId w:val="2"/>
        </w:numPr>
        <w:spacing w:after="80" w:line="300"/>
      </w:pPr>
      <w:r>
        <w:t xml:space="preserve">Semaine 2-3 : adhésion association pro (optionnel), création profil sur le logiciel kiné choisi.</w:t>
      </w:r>
    </w:p>
    <w:p>
      <w:pPr>
        <w:pStyle w:val="ListParagraph"/>
        <w:numPr>
          <w:ilvl w:val="0"/>
          <w:numId w:val="2"/>
        </w:numPr>
        <w:spacing w:after="80" w:line="300"/>
      </w:pPr>
      <w:r>
        <w:t xml:space="preserve">Semaine 3-4 : livraison et installation matériel au cabinet — formation utilisation lunettes, fauteuil, table.</w:t>
      </w:r>
    </w:p>
    <w:p>
      <w:pPr>
        <w:spacing w:after="120"/>
      </w:pPr>
      <w:r>
        <w:t xml:space="preserve"/>
      </w:r>
    </w:p>
    <w:p>
      <w:pPr>
        <w:pStyle w:val="Heading2"/>
        <w:spacing w:after="160" w:before="280"/>
      </w:pPr>
      <w:r>
        <w:t xml:space="preserve">11.3 Phase 3 — Mise en route clinique (mois 2-3)</w:t>
      </w:r>
    </w:p>
    <w:p>
      <w:pPr>
        <w:pStyle w:val="ListParagraph"/>
        <w:numPr>
          <w:ilvl w:val="0"/>
          <w:numId w:val="2"/>
        </w:numPr>
        <w:spacing w:after="80" w:line="300"/>
      </w:pPr>
      <w:r>
        <w:t xml:space="preserve">Mois 2 : démarrage à charge réduite (2 après-midi/semaine maximum). Permet de roder ton logiciel kiné, MyCareNet, organisation cabinet.</w:t>
      </w:r>
    </w:p>
    <w:p>
      <w:pPr>
        <w:pStyle w:val="ListParagraph"/>
        <w:numPr>
          <w:ilvl w:val="0"/>
          <w:numId w:val="2"/>
        </w:numPr>
        <w:spacing w:after="80" w:line="300"/>
      </w:pPr>
      <w:r>
        <w:t xml:space="preserve">Mois 2 : tournée des ORL prescripteurs locaux — RDV courts (15 min) pour annoncer l'activité et présenter le plateau technique. Apporte une plaquette imprimée + carte de visite.</w:t>
      </w:r>
    </w:p>
    <w:p>
      <w:pPr>
        <w:pStyle w:val="ListParagraph"/>
        <w:numPr>
          <w:ilvl w:val="0"/>
          <w:numId w:val="2"/>
        </w:numPr>
        <w:spacing w:after="80" w:line="300"/>
      </w:pPr>
      <w:r>
        <w:t xml:space="preserve">Mois 2-3 : article dédié sur le blog Praxis Loten (workflow Loten Copy-EBP) : « La kinésithérapie vestibulaire à Eupen — quand consulter, à quoi s'attendre ». SEO local pour capter la recherche organique.</w:t>
      </w:r>
    </w:p>
    <w:p>
      <w:pPr>
        <w:pStyle w:val="ListParagraph"/>
        <w:numPr>
          <w:ilvl w:val="0"/>
          <w:numId w:val="2"/>
        </w:numPr>
        <w:spacing w:after="80" w:line="300"/>
      </w:pPr>
      <w:r>
        <w:t xml:space="preserve">Mois 3 : montée à 3 après-midi/semaine si pipeline patient le permet.</w:t>
      </w:r>
    </w:p>
    <w:p>
      <w:pPr>
        <w:spacing w:after="120"/>
      </w:pPr>
      <w:r>
        <w:t xml:space="preserve"/>
      </w:r>
    </w:p>
    <w:p>
      <w:pPr>
        <w:pStyle w:val="Heading2"/>
        <w:spacing w:after="160" w:before="280"/>
      </w:pPr>
      <w:r>
        <w:t xml:space="preserve">11.4 Phase 4 — Montée en charge (mois 3-6)</w:t>
      </w:r>
    </w:p>
    <w:p>
      <w:pPr>
        <w:pStyle w:val="ListParagraph"/>
        <w:numPr>
          <w:ilvl w:val="0"/>
          <w:numId w:val="2"/>
        </w:numPr>
        <w:spacing w:after="80" w:line="300"/>
      </w:pPr>
      <w:r>
        <w:t xml:space="preserve">Bilans trimestriels avec ton ou ta comptable : revenus réels vs simulation, ajustement cotisations INASTI provisoires si nécessaire.</w:t>
      </w:r>
    </w:p>
    <w:p>
      <w:pPr>
        <w:pStyle w:val="ListParagraph"/>
        <w:numPr>
          <w:ilvl w:val="0"/>
          <w:numId w:val="2"/>
        </w:numPr>
        <w:spacing w:after="80" w:line="300"/>
      </w:pPr>
      <w:r>
        <w:t xml:space="preserve">Mois 6 : décision sur l'investissement du Pack B (VR + module VNG). Critère : si tu refuses régulièrement des patients ou si le déconventionnement avec supplément est accepté positivement par &gt; 80 % des patients.</w:t>
      </w:r>
    </w:p>
    <w:p>
      <w:pPr>
        <w:pStyle w:val="ListParagraph"/>
        <w:numPr>
          <w:ilvl w:val="0"/>
          <w:numId w:val="2"/>
        </w:numPr>
        <w:spacing w:after="80" w:line="300"/>
      </w:pPr>
      <w:r>
        <w:t xml:space="preserve">Mois 6 : montée à 4 après-midi/semaine si pertinent.</w:t>
      </w:r>
    </w:p>
    <w:p>
      <w:pPr>
        <w:pStyle w:val="ListParagraph"/>
        <w:numPr>
          <w:ilvl w:val="0"/>
          <w:numId w:val="2"/>
        </w:numPr>
        <w:spacing w:after="80" w:line="300"/>
      </w:pPr>
      <w:r>
        <w:t xml:space="preserve">Mois 6 : revue de satisfaction patients (questionnaire bref) — alerte sur les irritants pour les corriger.</w:t>
      </w:r>
    </w:p>
    <w:p>
      <w:pPr>
        <w:spacing w:after="120"/>
      </w:pPr>
      <w:r>
        <w:t xml:space="preserve"/>
      </w:r>
    </w:p>
    <w:p>
      <w:pPr>
        <w:pStyle w:val="Heading2"/>
        <w:spacing w:after="160" w:before="280"/>
      </w:pPr>
      <w:r>
        <w:t xml:space="preserve">11.5 Phase 5 — Stabilisation et bilan à 12 mois</w:t>
      </w:r>
    </w:p>
    <w:p>
      <w:pPr>
        <w:pStyle w:val="ListParagraph"/>
        <w:numPr>
          <w:ilvl w:val="0"/>
          <w:numId w:val="2"/>
        </w:numPr>
        <w:spacing w:after="80" w:line="300"/>
      </w:pPr>
      <w:r>
        <w:t xml:space="preserve">Mois 12 : clôture comptable première année avec ton ou ta comptable. Comparaison avec la simulation du présent rapport.</w:t>
      </w:r>
    </w:p>
    <w:p>
      <w:pPr>
        <w:pStyle w:val="ListParagraph"/>
        <w:numPr>
          <w:ilvl w:val="0"/>
          <w:numId w:val="2"/>
        </w:numPr>
        <w:spacing w:after="80" w:line="300"/>
      </w:pPr>
      <w:r>
        <w:t xml:space="preserve">Mois 12 : décision sur l'évolution stratégique : statu quo, basculement progressif (réduire à 50 % hôpital pour passer à 5 après-midi cabinet), ou maintien du modèle 75 % + 4 après-midi.</w:t>
      </w:r>
    </w:p>
    <w:p>
      <w:pPr>
        <w:pStyle w:val="ListParagraph"/>
        <w:numPr>
          <w:ilvl w:val="0"/>
          <w:numId w:val="2"/>
        </w:numPr>
        <w:spacing w:after="80" w:line="300"/>
      </w:pPr>
      <w:r>
        <w:t xml:space="preserve">Mois 18 : si bénéfice imposable &gt; 35 000 €, lancement étude SRL avec ton ou ta comptable.</w:t>
      </w:r>
    </w:p>
    <w:p>
      <w:pPr>
        <w:spacing w:after="120"/>
      </w:pPr>
      <w:r>
        <w:t xml:space="preserve"/>
      </w:r>
    </w:p>
    <w:p>
      <w:pPr>
        <w:pStyle w:val="Heading2"/>
        <w:spacing w:after="160" w:before="280"/>
      </w:pPr>
      <w:r>
        <w:t xml:space="preserve">11.6 Checklist mentale avant signature de la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b/>
                <w:bCs/>
                <w:sz w:val="22"/>
                <w:szCs w:val="22"/>
              </w:rPr>
              <w:t xml:space="preserve">☐</w:t>
            </w:r>
          </w:p>
        </w:tc>
        <w:tc>
          <w:tcPr>
            <w:tcW w:type="dxa" w:w="8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J'ai validé avec ton ou ta comptable la simulation chiffrée appliquée à mes vrais revenus hôpital.</w:t>
            </w:r>
          </w:p>
        </w:tc>
      </w:tr>
      <w:tr>
        <w:tc>
          <w:tcPr>
            <w:tcW w:type="dxa" w:w="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b/>
                <w:bCs/>
                <w:sz w:val="22"/>
                <w:szCs w:val="22"/>
              </w:rPr>
              <w:t xml:space="preserve">☐</w:t>
            </w:r>
          </w:p>
        </w:tc>
        <w:tc>
          <w:tcPr>
            <w:tcW w:type="dxa" w:w="8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J'ai discuté du projet avec mon entourage proche et obtenu un soutien clair.</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b/>
                <w:bCs/>
                <w:sz w:val="22"/>
                <w:szCs w:val="22"/>
              </w:rPr>
              <w:t xml:space="preserve">☐</w:t>
            </w:r>
          </w:p>
        </w:tc>
        <w:tc>
          <w:tcPr>
            <w:tcW w:type="dxa" w:w="8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J'ai un fonds de roulement personnel d'au moins 5 000 € pour absorber les premières dépenses et la régularisation INASTI à 2-3 ans.</w:t>
            </w:r>
          </w:p>
        </w:tc>
      </w:tr>
      <w:tr>
        <w:tc>
          <w:tcPr>
            <w:tcW w:type="dxa" w:w="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b/>
                <w:bCs/>
                <w:sz w:val="22"/>
                <w:szCs w:val="22"/>
              </w:rPr>
              <w:t xml:space="preserve">☐</w:t>
            </w:r>
          </w:p>
        </w:tc>
        <w:tc>
          <w:tcPr>
            <w:tcW w:type="dxa" w:w="8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J'accepte que les 6 premiers mois soient potentiellement déficitaires en net (cash sortant &gt; cash entrant).</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b/>
                <w:bCs/>
                <w:sz w:val="22"/>
                <w:szCs w:val="22"/>
              </w:rPr>
              <w:t xml:space="preserve">☐</w:t>
            </w:r>
          </w:p>
        </w:tc>
        <w:tc>
          <w:tcPr>
            <w:tcW w:type="dxa" w:w="8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J'ai identifié et contacté au moins 3 ORL prescripteurs potentiels.</w:t>
            </w:r>
          </w:p>
        </w:tc>
      </w:tr>
      <w:tr>
        <w:tc>
          <w:tcPr>
            <w:tcW w:type="dxa" w:w="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b/>
                <w:bCs/>
                <w:sz w:val="22"/>
                <w:szCs w:val="22"/>
              </w:rPr>
              <w:t xml:space="preserve">☐</w:t>
            </w:r>
          </w:p>
        </w:tc>
        <w:tc>
          <w:tcPr>
            <w:tcW w:type="dxa" w:w="8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J'ai un plan B clair si l'activité ne décolle pas (arrêt à 12 mois, revente matériel).</w:t>
            </w:r>
          </w:p>
        </w:tc>
      </w:tr>
    </w:tbl>
    <w:p>
      <w:r>
        <w:br w:type="page"/>
      </w:r>
    </w:p>
    <w:p>
      <w:pPr>
        <w:pStyle w:val="Heading1"/>
        <w:spacing w:after="200" w:before="360"/>
      </w:pPr>
      <w:r>
        <w:t xml:space="preserve">12. Conclusion et prochaines étapes</w:t>
      </w:r>
    </w:p>
    <w:p>
      <w:pPr>
        <w:spacing w:after="120" w:before="0" w:line="300"/>
      </w:pPr>
      <w:r>
        <w:t xml:space="preserve">Le projet est cohérent avec ton profil clinique, ta spécialisation et le contexte favorable d'Eupen. Les chiffres montrent qu'avec un démarrage prudent (Pack A matériel, 4 après-midi/semaine, déconventionnement modéré), le net mensuel atteignable la première année se situe entre 1 000 et 1 400 €. À 18-24 mois, après stabilisation et passage éventuel en pleine charge, ce chiffre peut monter à 2 000-2 500 €/mois nets.</w:t>
      </w:r>
    </w:p>
    <w:p>
      <w:pPr>
        <w:spacing w:after="120" w:before="0" w:line="300"/>
      </w:pPr>
      <w:r>
        <w:t xml:space="preserve">La rentabilité brute n'est pas spectaculaire à cause de la fiscalité belge sur les revenus complémentaires — c'est une réalité structurelle, pas un défaut spécifique du projet. Le vrai gain est triple : autonomie clinique, valorisation de l'expertise vestibulaire, et construction progressive d'une indépendance professionnelle qui peut basculer en activité principale dans 3-5 ans si tu le souhaites.</w:t>
      </w:r>
    </w:p>
    <w:p>
      <w:pPr>
        <w:pStyle w:val="Heading2"/>
        <w:spacing w:after="160" w:before="280"/>
      </w:pPr>
      <w:r>
        <w:t xml:space="preserve">Trois choses à valider avant tout engagement</w:t>
      </w:r>
    </w:p>
    <w:p>
      <w:pPr>
        <w:pStyle w:val="ListParagraph"/>
        <w:numPr>
          <w:ilvl w:val="0"/>
          <w:numId w:val="3"/>
        </w:numPr>
        <w:spacing w:after="80" w:line="300"/>
      </w:pPr>
      <w:r>
        <w:t xml:space="preserve">RDV avec ton ou ta comptable : simulation IPP appliquée à tes vrais bulletins de salaire hospitaliers et discussion régime primostarter.</w:t>
      </w:r>
    </w:p>
    <w:p>
      <w:pPr>
        <w:pStyle w:val="ListParagraph"/>
        <w:numPr>
          <w:ilvl w:val="0"/>
          <w:numId w:val="3"/>
        </w:numPr>
        <w:spacing w:after="80" w:line="300"/>
      </w:pPr>
      <w:r>
        <w:t xml:space="preserve">Devis comparatifs Pack A matériel auprès de 2-3 fournisseurs avec délais de livraison fermes.</w:t>
      </w:r>
    </w:p>
    <w:p>
      <w:pPr>
        <w:pStyle w:val="ListParagraph"/>
        <w:numPr>
          <w:ilvl w:val="0"/>
          <w:numId w:val="3"/>
        </w:numPr>
        <w:spacing w:after="80" w:line="300"/>
      </w:pPr>
      <w:r>
        <w:t xml:space="preserve">Convention de collaboration Praxis Loten formalisée par écrit, modalités d'utilisation matériel et horaires explicites.</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1F52" w:sz="4"/>
              <w:left w:val="single" w:color="1A1F52" w:sz="32"/>
              <w:bottom w:val="single" w:color="1A1F52" w:sz="4"/>
              <w:right w:val="single" w:color="1A1F52" w:sz="4"/>
            </w:tcBorders>
            <w:shd w:fill="E8EAFA" w:val="clear"/>
            <w:tcMar>
              <w:top w:type="dxa" w:w="200"/>
              <w:left w:type="dxa" w:w="260"/>
              <w:bottom w:type="dxa" w:w="200"/>
              <w:right w:type="dxa" w:w="220"/>
            </w:tcMar>
          </w:tcPr>
          <w:p>
            <w:pPr>
              <w:spacing w:after="80"/>
            </w:pPr>
            <w:r>
              <w:rPr>
                <w:b/>
                <w:bCs/>
                <w:color w:val="1A1F52"/>
                <w:sz w:val="22"/>
                <w:szCs w:val="22"/>
              </w:rPr>
              <w:t xml:space="preserve">Pour poursuivre la discussion</w:t>
            </w:r>
          </w:p>
          <w:p>
            <w:pPr>
              <w:spacing w:after="60" w:line="280"/>
            </w:pPr>
            <w:r>
              <w:rPr>
                <w:color w:val="0D1120"/>
                <w:sz w:val="21"/>
                <w:szCs w:val="21"/>
              </w:rPr>
              <w:t xml:space="preserve">Ce rapport reste une simulation. Les chiffres réels dépendront de tes revenus exacts à l'hôpital, du volume effectif de patients et de tes choix de conventionnement.</w:t>
            </w:r>
          </w:p>
          <w:p>
            <w:pPr>
              <w:spacing w:after="60" w:line="280"/>
            </w:pPr>
            <w:r>
              <w:rPr>
                <w:color w:val="0D1120"/>
                <w:sz w:val="21"/>
                <w:szCs w:val="21"/>
              </w:rPr>
              <w:t xml:space="preserve">Pour transformer cette analyse en décision opérationnelle, le prochain pas est une rencontre tripartite : toi, moi (Philippe) et ton ou ta comptable. 1h suffit pour caler la simulation sur ta réalité et arrêter le go/no-go.</w:t>
            </w:r>
          </w:p>
          <w:p>
            <w:pPr>
              <w:spacing w:after="60" w:line="280"/>
            </w:pPr>
            <w:r>
              <w:rPr>
                <w:color w:val="0D1120"/>
                <w:sz w:val="21"/>
                <w:szCs w:val="21"/>
              </w:rPr>
              <w:t xml:space="preserve">Je suis à disposition pour adapter ce document à tes contraintes spécifiques, simuler d'autres scénarios (Pack A pur, 3 après-midi/semaine, conventionnement total, etc.), ou détailler n'importe quelle section si besoin.</w:t>
            </w:r>
          </w:p>
        </w:tc>
      </w:tr>
    </w:tbl>
    <w:p>
      <w:pPr>
        <w:spacing w:after="120"/>
      </w:pPr>
      <w:r>
        <w:t xml:space="preserve"/>
      </w:r>
    </w:p>
    <w:p>
      <w:pPr>
        <w:spacing w:after="120"/>
      </w:pPr>
      <w:r>
        <w:t xml:space="preserve"/>
      </w:r>
    </w:p>
    <w:p>
      <w:pPr>
        <w:spacing w:after="120" w:before="0" w:line="300"/>
        <w:jc w:val="right"/>
      </w:pPr>
      <w:r>
        <w:rPr>
          <w:b/>
          <w:bCs/>
          <w:sz w:val="24"/>
          <w:szCs w:val="24"/>
        </w:rPr>
        <w:t xml:space="preserve">Philippe Banaszak</w:t>
      </w:r>
      <w:r>
        <w:t xml:space="preserve"/>
      </w:r>
    </w:p>
    <w:p>
      <w:pPr>
        <w:spacing w:after="120" w:before="0" w:line="300"/>
        <w:jc w:val="right"/>
      </w:pPr>
      <w:r>
        <w:rPr>
          <w:color w:val="595959"/>
          <w:sz w:val="22"/>
          <w:szCs w:val="22"/>
        </w:rPr>
        <w:t xml:space="preserve">Praxis Loten · PBKINE SRL</w:t>
      </w:r>
    </w:p>
    <w:p>
      <w:pPr>
        <w:spacing w:after="120" w:before="0" w:line="300"/>
        <w:jc w:val="right"/>
      </w:pPr>
      <w:r>
        <w:rPr>
          <w:i/>
          <w:iCs/>
          <w:color w:val="595959"/>
          <w:sz w:val="22"/>
          <w:szCs w:val="22"/>
        </w:rPr>
        <w:t xml:space="preserve">22 mai 2026</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1F52" w:sz="4" w:space="6"/>
      </w:pBdr>
      <w:tabs>
        <w:tab w:val="center" w:pos="4500"/>
        <w:tab w:val="right" w:pos="9026"/>
      </w:tabs>
      <w:spacing w:before="120"/>
    </w:pPr>
    <w:r>
      <w:rPr>
        <w:b/>
        <w:bCs/>
        <w:color w:val="1A1F52"/>
        <w:sz w:val="16"/>
        <w:szCs w:val="16"/>
      </w:rPr>
      <w:t xml:space="preserve">Praxis Loten · Loten 1, 4700 Eupen</w:t>
    </w:r>
    <w:r>
      <w:rPr>
        <w:b/>
        <w:bCs/>
        <w:color w:val="76B82A"/>
        <w:sz w:val="16"/>
        <w:szCs w:val="16"/>
      </w:rPr>
      <w:t xml:space="preserve">  |  </w:t>
    </w:r>
    <w:r>
      <w:rPr>
        <w:i/>
        <w:iCs/>
        <w:color w:val="595959"/>
        <w:sz w:val="16"/>
        <w:szCs w:val="16"/>
      </w:rPr>
      <w:t xml:space="preserve">Indépendant complémentaire vestibulaire</w:t>
    </w:r>
    <w:r>
      <w:rPr>
        <w:sz w:val="16"/>
        <w:szCs w:val="16"/>
      </w:rPr>
      <w:t xml:space="preserve">	</w:t>
    </w:r>
    <w:r>
      <w:rPr>
        <w:color w:val="595959"/>
        <w:sz w:val="16"/>
        <w:szCs w:val="16"/>
      </w:rPr>
      <w:t xml:space="preserve">22 mai 2026</w:t>
    </w:r>
    <w:r>
      <w:rPr>
        <w:sz w:val="16"/>
        <w:szCs w:val="16"/>
      </w:rPr>
      <w:t xml:space="preserve">	</w:t>
    </w:r>
    <w:r>
      <w:rPr>
        <w:color w:val="595959"/>
        <w:sz w:val="16"/>
        <w:szCs w:val="16"/>
      </w:rPr>
      <w:t xml:space="preserve">p. </w:t>
    </w:r>
    <w:r>
      <w:rPr>
        <w:b/>
        <w:bCs/>
        <w:color w:val="1A1F52"/>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none"/>
        <w:left w:val="none"/>
        <w:bottom w:val="single" w:color="76B82A" w:sz="8"/>
        <w:right w:val="none"/>
        <w:insideH w:val="none"/>
        <w:insideV w:val="none"/>
      </w:tblBorders>
    </w:tblPr>
    <w:tblGrid>
      <w:gridCol w:w="800"/>
      <w:gridCol w:w="8226"/>
    </w:tblGrid>
    <w:tr>
      <w:tc>
        <w:tcPr>
          <w:tcW w:type="dxa" w:w="800"/>
          <w:tcBorders>
            <w:top w:val="none"/>
            <w:left w:val="none"/>
            <w:bottom w:val="none"/>
            <w:right w:val="none"/>
          </w:tcBorders>
          <w:tcMar>
            <w:top w:type="dxa" w:w="40"/>
            <w:left w:type="dxa" w:w="0"/>
            <w:bottom w:type="dxa" w:w="40"/>
            <w:right w:type="dxa" w:w="100"/>
          </w:tcMar>
          <w:vAlign w:val="center"/>
        </w:tcPr>
        <w:p>
          <w:pPr>
            <w:spacing w:after="0"/>
            <w:jc w:val="left"/>
          </w:pPr>
          <w:r>
            <w:drawing>
              <wp:inline distT="0" distB="0" distL="0" distR="0">
                <wp:extent cx="3429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 cy="342900"/>
                        </a:xfrm>
                        <a:prstGeom prst="rect">
                          <a:avLst/>
                        </a:prstGeom>
                      </pic:spPr>
                    </pic:pic>
                  </a:graphicData>
                </a:graphic>
              </wp:inline>
            </w:drawing>
          </w:r>
        </w:p>
      </w:tc>
      <w:tc>
        <w:tcPr>
          <w:tcW w:type="dxa" w:w="8226"/>
          <w:tcBorders>
            <w:top w:val="none"/>
            <w:left w:val="none"/>
            <w:bottom w:val="none"/>
            <w:right w:val="none"/>
          </w:tcBorders>
          <w:tcMar>
            <w:top w:type="dxa" w:w="40"/>
            <w:left w:type="dxa" w:w="0"/>
            <w:bottom w:type="dxa" w:w="40"/>
            <w:right w:type="dxa" w:w="0"/>
          </w:tcMar>
          <w:vAlign w:val="center"/>
        </w:tcPr>
        <w:p>
          <w:pPr>
            <w:spacing w:after="0"/>
            <w:jc w:val="right"/>
          </w:pPr>
          <w:r>
            <w:rPr>
              <w:b/>
              <w:bCs/>
              <w:color w:val="1A1F52"/>
              <w:sz w:val="18"/>
              <w:szCs w:val="18"/>
            </w:rPr>
            <w:t xml:space="preserve">PRAXIS LOTEN</w:t>
          </w:r>
          <w:r>
            <w:rPr>
              <w:b/>
              <w:bCs/>
              <w:color w:val="76B82A"/>
              <w:sz w:val="18"/>
              <w:szCs w:val="18"/>
            </w:rPr>
            <w:t xml:space="preserve">  ·  </w:t>
          </w:r>
          <w:r>
            <w:rPr>
              <w:i/>
              <w:iCs/>
              <w:color w:val="595959"/>
              <w:sz w:val="18"/>
              <w:szCs w:val="18"/>
            </w:rPr>
            <w:t xml:space="preserve">Indépendant complémentaire vestibulaire</w:t>
          </w:r>
        </w:p>
      </w:tc>
    </w:tr>
  </w:tbl>
  <w:p>
    <w:pPr>
      <w:spacing w:after="10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76B82A"/>
      </w:rPr>
    </w:lvl>
    <w:lvl w:ilvl="1" w15:tentative="1">
      <w:start w:val="1"/>
      <w:numFmt w:val="bullet"/>
      <w:lvlText w:val="◦"/>
      <w:lvlJc w:val="left"/>
      <w:pPr>
        <w:ind w:left="1440" w:hanging="360"/>
      </w:pPr>
      <w:rPr>
        <w:color w:val="76B82A"/>
      </w:rPr>
    </w:lvl>
  </w:abstractNum>
  <w:abstractNum w:abstractNumId="3" w15:restartNumberingAfterBreak="0">
    <w:multiLevelType w:val="hybridMultilevel"/>
    <w:lvl w:ilvl="0" w15:tentative="1">
      <w:start w:val="1"/>
      <w:numFmt w:val="decimal"/>
      <w:lvlText w:val="%1."/>
      <w:lvlJc w:val="left"/>
      <w:pPr>
        <w:ind w:left="720" w:hanging="360"/>
      </w:pPr>
      <w:rPr>
        <w:b/>
        <w:bCs/>
        <w:color w:val="1A1F5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D11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76B82A" w:sz="12" w:space="4"/>
      </w:pBdr>
      <w:spacing w:after="200" w:before="400"/>
      <w:outlineLvl w:val="0"/>
    </w:pPr>
    <w:rPr>
      <w:rFonts w:ascii="Calibri" w:cs="Calibri" w:eastAsia="Calibri" w:hAnsi="Calibri"/>
      <w:b/>
      <w:bCs/>
      <w:color w:val="1A1F52"/>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1A1F52"/>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76B8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ceb6383396c0412b9e0734258426d1234c968e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ceb6383396c0412b9e0734258426d1234c968e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 Indépendant complémentaire vestibulaire — Praxis Loten</dc:title>
  <dc:creator>Philippe Banaszak</dc:creator>
  <dc:description>Rapport stratégique pour une collègue de l'hôpital Saint-Nicolas envisageant un complément d'activité au cabinet Praxis Loten</dc:description>
  <cp:lastModifiedBy>Un-named</cp:lastModifiedBy>
  <cp:revision>1</cp:revision>
  <dcterms:created xsi:type="dcterms:W3CDTF">2026-05-23T12:19:29.649Z</dcterms:created>
  <dcterms:modified xsi:type="dcterms:W3CDTF">2026-05-23T12:19:29.663Z</dcterms:modified>
</cp:coreProperties>
</file>

<file path=docProps/custom.xml><?xml version="1.0" encoding="utf-8"?>
<Properties xmlns="http://schemas.openxmlformats.org/officeDocument/2006/custom-properties" xmlns:vt="http://schemas.openxmlformats.org/officeDocument/2006/docPropsVTypes"/>
</file>