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6CD" w:rsidRPr="00DF5366" w:rsidRDefault="00B576CD" w:rsidP="00B576CD">
      <w:pPr>
        <w:pStyle w:val="Heading1"/>
      </w:pPr>
      <w:r w:rsidRPr="00DF5366">
        <w:t>Supplementary Materials</w:t>
      </w:r>
    </w:p>
    <w:p w:rsidR="00B576CD" w:rsidRPr="008950D8" w:rsidRDefault="0071460C" w:rsidP="00B576CD">
      <w:pPr>
        <w:widowControl/>
        <w:spacing w:before="60" w:line="480" w:lineRule="auto"/>
        <w:jc w:val="both"/>
        <w:rPr>
          <w:rFonts w:ascii="Arial" w:hAnsi="Arial" w:cs="Arial"/>
          <w:noProof w:val="0"/>
          <w:sz w:val="22"/>
          <w:szCs w:val="22"/>
        </w:rPr>
      </w:pPr>
      <w:r>
        <w:rPr>
          <w:rFonts w:ascii="Arial" w:hAnsi="Arial" w:cs="Arial"/>
          <w:noProof w:val="0"/>
          <w:sz w:val="22"/>
          <w:szCs w:val="22"/>
        </w:rPr>
        <w:t>MS</w:t>
      </w:r>
      <w:r w:rsidRPr="006654B2">
        <w:rPr>
          <w:rFonts w:ascii="Arial" w:hAnsi="Arial" w:cs="Arial"/>
          <w:noProof w:val="0"/>
          <w:sz w:val="22"/>
          <w:szCs w:val="22"/>
          <w:vertAlign w:val="superscript"/>
        </w:rPr>
        <w:t>2</w:t>
      </w:r>
      <w:r w:rsidR="00B576CD" w:rsidRPr="00367639">
        <w:rPr>
          <w:rFonts w:ascii="Arial" w:hAnsi="Arial" w:cs="Arial"/>
          <w:noProof w:val="0"/>
          <w:sz w:val="22"/>
          <w:szCs w:val="22"/>
        </w:rPr>
        <w:t xml:space="preserve"> spectra were separated by fragmentation method (37810 HCD spectra, 25734 ETD spectra, and 33586 CID spectra) and searched with MS-GFDB v6439. Spectra were identified at 1% spectrum-level FDR against the </w:t>
      </w:r>
      <w:proofErr w:type="spellStart"/>
      <w:r w:rsidR="00B576CD" w:rsidRPr="00367639">
        <w:rPr>
          <w:rFonts w:ascii="Arial" w:hAnsi="Arial" w:cs="Arial"/>
          <w:noProof w:val="0"/>
          <w:sz w:val="22"/>
          <w:szCs w:val="22"/>
        </w:rPr>
        <w:t>refseq</w:t>
      </w:r>
      <w:proofErr w:type="spellEnd"/>
      <w:r w:rsidR="00B576CD" w:rsidRPr="00367639">
        <w:rPr>
          <w:rFonts w:ascii="Arial" w:hAnsi="Arial" w:cs="Arial"/>
          <w:noProof w:val="0"/>
          <w:sz w:val="22"/>
          <w:szCs w:val="22"/>
        </w:rPr>
        <w:t xml:space="preserve"> human database (version 2011.0301). The following param</w:t>
      </w:r>
      <w:bookmarkStart w:id="0" w:name="_GoBack"/>
      <w:bookmarkEnd w:id="0"/>
      <w:r w:rsidR="00B576CD" w:rsidRPr="00367639">
        <w:rPr>
          <w:rFonts w:ascii="Arial" w:hAnsi="Arial" w:cs="Arial"/>
          <w:noProof w:val="0"/>
          <w:sz w:val="22"/>
          <w:szCs w:val="22"/>
        </w:rPr>
        <w:t xml:space="preserve">eters were set for all searches: 7 ppm precursor mass tolerance, </w:t>
      </w:r>
      <w:proofErr w:type="spellStart"/>
      <w:r w:rsidR="00B576CD" w:rsidRPr="00367639">
        <w:rPr>
          <w:rFonts w:ascii="Arial" w:hAnsi="Arial" w:cs="Arial"/>
          <w:noProof w:val="0"/>
          <w:sz w:val="22"/>
          <w:szCs w:val="22"/>
        </w:rPr>
        <w:t>carbamidomethylation</w:t>
      </w:r>
      <w:proofErr w:type="spellEnd"/>
      <w:r w:rsidR="00B576CD" w:rsidRPr="00367639">
        <w:rPr>
          <w:rFonts w:ascii="Arial" w:hAnsi="Arial" w:cs="Arial"/>
          <w:noProof w:val="0"/>
          <w:sz w:val="22"/>
          <w:szCs w:val="22"/>
        </w:rPr>
        <w:t xml:space="preserve"> (+57 Da) Cysteine protecting group, 1 allowed 13C, </w:t>
      </w:r>
      <w:proofErr w:type="spellStart"/>
      <w:r w:rsidR="00B576CD" w:rsidRPr="00367639">
        <w:rPr>
          <w:rFonts w:ascii="Arial" w:hAnsi="Arial" w:cs="Arial"/>
          <w:noProof w:val="0"/>
          <w:sz w:val="22"/>
          <w:szCs w:val="22"/>
        </w:rPr>
        <w:t>Tryptic</w:t>
      </w:r>
      <w:proofErr w:type="spellEnd"/>
      <w:r w:rsidR="00B576CD" w:rsidRPr="00367639">
        <w:rPr>
          <w:rFonts w:ascii="Arial" w:hAnsi="Arial" w:cs="Arial"/>
          <w:noProof w:val="0"/>
          <w:sz w:val="22"/>
          <w:szCs w:val="22"/>
        </w:rPr>
        <w:t xml:space="preserve"> digest, High-res LTQ, and 1 allowed non-enzymatic termini. Fragmentation ID was also set appropriately for each search (CID, HCD, or ETD). FDR P-values were calculated by MS-GFDB using the target-decoy approach. Furthermore, all searches were conducted allowing for the following variable post-translational modifications: oxidation of methionine, N-terminal </w:t>
      </w:r>
      <w:proofErr w:type="spellStart"/>
      <w:r w:rsidR="00B576CD" w:rsidRPr="00367639">
        <w:rPr>
          <w:rFonts w:ascii="Arial" w:hAnsi="Arial" w:cs="Arial"/>
          <w:noProof w:val="0"/>
          <w:sz w:val="22"/>
          <w:szCs w:val="22"/>
        </w:rPr>
        <w:t>pyroglutamate</w:t>
      </w:r>
      <w:proofErr w:type="spellEnd"/>
      <w:r w:rsidR="00B576CD" w:rsidRPr="00367639">
        <w:rPr>
          <w:rFonts w:ascii="Arial" w:hAnsi="Arial" w:cs="Arial"/>
          <w:noProof w:val="0"/>
          <w:sz w:val="22"/>
          <w:szCs w:val="22"/>
        </w:rPr>
        <w:t xml:space="preserve"> formation, </w:t>
      </w:r>
      <w:proofErr w:type="spellStart"/>
      <w:r w:rsidR="00B576CD" w:rsidRPr="00367639">
        <w:rPr>
          <w:rFonts w:ascii="Arial" w:hAnsi="Arial" w:cs="Arial"/>
          <w:noProof w:val="0"/>
          <w:sz w:val="22"/>
          <w:szCs w:val="22"/>
        </w:rPr>
        <w:t>deamidation</w:t>
      </w:r>
      <w:proofErr w:type="spellEnd"/>
      <w:r w:rsidR="00B576CD" w:rsidRPr="00367639">
        <w:rPr>
          <w:rFonts w:ascii="Arial" w:hAnsi="Arial" w:cs="Arial"/>
          <w:noProof w:val="0"/>
          <w:sz w:val="22"/>
          <w:szCs w:val="22"/>
        </w:rPr>
        <w:t xml:space="preserve"> of asparagine, and </w:t>
      </w:r>
      <w:proofErr w:type="spellStart"/>
      <w:r w:rsidR="00B576CD" w:rsidRPr="00367639">
        <w:rPr>
          <w:rFonts w:ascii="Arial" w:hAnsi="Arial" w:cs="Arial"/>
          <w:noProof w:val="0"/>
          <w:sz w:val="22"/>
          <w:szCs w:val="22"/>
        </w:rPr>
        <w:t>deamidation</w:t>
      </w:r>
      <w:proofErr w:type="spellEnd"/>
      <w:r w:rsidR="00B576CD" w:rsidRPr="00367639">
        <w:rPr>
          <w:rFonts w:ascii="Arial" w:hAnsi="Arial" w:cs="Arial"/>
          <w:noProof w:val="0"/>
          <w:sz w:val="22"/>
          <w:szCs w:val="22"/>
        </w:rPr>
        <w:t xml:space="preserve"> of aspartic acid.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06"/>
        <w:gridCol w:w="706"/>
        <w:gridCol w:w="645"/>
        <w:gridCol w:w="645"/>
        <w:gridCol w:w="706"/>
      </w:tblGrid>
      <w:tr w:rsidR="00B576CD" w:rsidTr="00220CFE">
        <w:trPr>
          <w:trHeight w:hRule="exact" w:val="288"/>
          <w:jc w:val="center"/>
        </w:trPr>
        <w:tc>
          <w:tcPr>
            <w:tcW w:w="0" w:type="auto"/>
            <w:vAlign w:val="center"/>
          </w:tcPr>
          <w:p w:rsidR="00B576CD" w:rsidRDefault="00B576CD" w:rsidP="00220CFE">
            <w:pPr>
              <w:widowControl/>
              <w:jc w:val="right"/>
              <w:rPr>
                <w:rFonts w:ascii="Arial" w:hAnsi="Arial" w:cs="Arial"/>
                <w:noProof w:val="0"/>
                <w:sz w:val="22"/>
                <w:szCs w:val="22"/>
              </w:rPr>
            </w:pPr>
          </w:p>
        </w:tc>
        <w:tc>
          <w:tcPr>
            <w:tcW w:w="0" w:type="auto"/>
            <w:gridSpan w:val="5"/>
            <w:tcBorders>
              <w:bottom w:val="single" w:sz="4" w:space="0" w:color="auto"/>
            </w:tcBorders>
            <w:vAlign w:val="center"/>
          </w:tcPr>
          <w:p w:rsidR="00B576CD" w:rsidRDefault="00B576CD" w:rsidP="00220CFE">
            <w:pPr>
              <w:widowControl/>
              <w:jc w:val="center"/>
              <w:rPr>
                <w:rFonts w:ascii="Arial" w:hAnsi="Arial" w:cs="Arial"/>
                <w:noProof w:val="0"/>
                <w:sz w:val="22"/>
                <w:szCs w:val="22"/>
              </w:rPr>
            </w:pPr>
            <w:r>
              <w:rPr>
                <w:rFonts w:ascii="Arial" w:hAnsi="Arial" w:cs="Arial"/>
                <w:noProof w:val="0"/>
                <w:sz w:val="22"/>
                <w:szCs w:val="22"/>
              </w:rPr>
              <w:t>Unique Peptide Breaks</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Prec. Charge</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All</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 Unique Pep.</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4361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2873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712</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8037</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CID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2.5</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3.4</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HCD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6.1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4.6</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5.0</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ETD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9.3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24.9</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32.9</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27.7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18.8</w:t>
            </w:r>
          </w:p>
        </w:tc>
      </w:tr>
      <w:tr w:rsidR="00B576CD" w:rsidTr="00220CFE">
        <w:trPr>
          <w:trHeight w:hRule="exact" w:val="288"/>
          <w:jc w:val="center"/>
        </w:trPr>
        <w:tc>
          <w:tcPr>
            <w:tcW w:w="0" w:type="auto"/>
            <w:vAlign w:val="center"/>
          </w:tcPr>
          <w:p w:rsidR="00B576CD" w:rsidRPr="00F9738C" w:rsidRDefault="00B576CD" w:rsidP="00220CFE">
            <w:pPr>
              <w:widowControl/>
              <w:jc w:val="right"/>
              <w:rPr>
                <w:rFonts w:ascii="Arial" w:hAnsi="Arial" w:cs="Arial"/>
                <w:noProof w:val="0"/>
                <w:sz w:val="22"/>
                <w:szCs w:val="22"/>
              </w:rPr>
            </w:pPr>
            <w:r>
              <w:rPr>
                <w:rFonts w:ascii="Arial" w:hAnsi="Arial" w:cs="Arial"/>
                <w:noProof w:val="0"/>
                <w:sz w:val="22"/>
                <w:szCs w:val="22"/>
              </w:rPr>
              <w:t>CID/HCD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20.7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14.6</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11.5</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12.5</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17.0</w:t>
            </w:r>
          </w:p>
        </w:tc>
      </w:tr>
      <w:tr w:rsidR="00B576CD" w:rsidTr="00220CFE">
        <w:trPr>
          <w:trHeight w:hRule="exact" w:val="288"/>
          <w:jc w:val="center"/>
        </w:trPr>
        <w:tc>
          <w:tcPr>
            <w:tcW w:w="0" w:type="auto"/>
            <w:vAlign w:val="center"/>
          </w:tcPr>
          <w:p w:rsidR="00B576CD" w:rsidRDefault="00B576CD" w:rsidP="00220CFE">
            <w:pPr>
              <w:widowControl/>
              <w:jc w:val="right"/>
              <w:rPr>
                <w:rFonts w:ascii="Arial" w:hAnsi="Arial" w:cs="Arial"/>
                <w:noProof w:val="0"/>
                <w:sz w:val="22"/>
                <w:szCs w:val="22"/>
              </w:rPr>
            </w:pPr>
            <w:r>
              <w:rPr>
                <w:rFonts w:ascii="Arial" w:hAnsi="Arial" w:cs="Arial"/>
                <w:noProof w:val="0"/>
                <w:sz w:val="22"/>
                <w:szCs w:val="22"/>
              </w:rPr>
              <w:t>CID/ETD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5.7</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5.4</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2.6</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5.3</w:t>
            </w:r>
          </w:p>
        </w:tc>
      </w:tr>
      <w:tr w:rsidR="00B576CD" w:rsidTr="00220CFE">
        <w:trPr>
          <w:trHeight w:hRule="exact" w:val="288"/>
          <w:jc w:val="center"/>
        </w:trPr>
        <w:tc>
          <w:tcPr>
            <w:tcW w:w="0" w:type="auto"/>
            <w:vAlign w:val="center"/>
          </w:tcPr>
          <w:p w:rsidR="00B576CD" w:rsidRDefault="00B576CD" w:rsidP="00220CFE">
            <w:pPr>
              <w:widowControl/>
              <w:jc w:val="right"/>
              <w:rPr>
                <w:rFonts w:ascii="Arial" w:hAnsi="Arial" w:cs="Arial"/>
                <w:noProof w:val="0"/>
                <w:sz w:val="22"/>
                <w:szCs w:val="22"/>
              </w:rPr>
            </w:pPr>
            <w:r>
              <w:rPr>
                <w:rFonts w:ascii="Arial" w:hAnsi="Arial" w:cs="Arial"/>
                <w:noProof w:val="0"/>
                <w:sz w:val="22"/>
                <w:szCs w:val="22"/>
              </w:rPr>
              <w:t>HCD/ETD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7.3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10.1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5.6</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8.1</w:t>
            </w:r>
          </w:p>
        </w:tc>
      </w:tr>
      <w:tr w:rsidR="00B576CD" w:rsidTr="00220CFE">
        <w:trPr>
          <w:trHeight w:hRule="exact" w:val="288"/>
          <w:jc w:val="center"/>
        </w:trPr>
        <w:tc>
          <w:tcPr>
            <w:tcW w:w="0" w:type="auto"/>
            <w:vAlign w:val="center"/>
          </w:tcPr>
          <w:p w:rsidR="00B576CD" w:rsidRDefault="00B576CD" w:rsidP="00220CFE">
            <w:pPr>
              <w:widowControl/>
              <w:jc w:val="right"/>
              <w:rPr>
                <w:rFonts w:ascii="Arial" w:hAnsi="Arial" w:cs="Arial"/>
                <w:noProof w:val="0"/>
                <w:sz w:val="22"/>
                <w:szCs w:val="22"/>
              </w:rPr>
            </w:pPr>
            <w:r>
              <w:rPr>
                <w:rFonts w:ascii="Arial" w:hAnsi="Arial" w:cs="Arial"/>
                <w:noProof w:val="0"/>
                <w:sz w:val="22"/>
                <w:szCs w:val="22"/>
              </w:rPr>
              <w:t>CID/HCD/ETD</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41.8</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23.3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13.1</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6.9</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30.2</w:t>
            </w:r>
          </w:p>
        </w:tc>
      </w:tr>
    </w:tbl>
    <w:p w:rsidR="00B576CD" w:rsidRPr="008950D8" w:rsidRDefault="00B576CD" w:rsidP="00B576CD">
      <w:pPr>
        <w:widowControl/>
        <w:spacing w:before="240"/>
        <w:jc w:val="both"/>
        <w:rPr>
          <w:rFonts w:ascii="Arial" w:hAnsi="Arial" w:cs="Arial"/>
          <w:noProof w:val="0"/>
          <w:sz w:val="22"/>
          <w:szCs w:val="22"/>
        </w:rPr>
      </w:pPr>
    </w:p>
    <w:p w:rsidR="00B576CD" w:rsidRPr="008950D8" w:rsidRDefault="00B576CD" w:rsidP="00B576CD">
      <w:pPr>
        <w:widowControl/>
        <w:spacing w:line="480" w:lineRule="auto"/>
        <w:jc w:val="both"/>
        <w:rPr>
          <w:rFonts w:ascii="Arial" w:hAnsi="Arial" w:cs="Arial"/>
          <w:noProof w:val="0"/>
          <w:sz w:val="22"/>
          <w:szCs w:val="22"/>
        </w:rPr>
      </w:pPr>
      <w:r w:rsidRPr="008950D8">
        <w:rPr>
          <w:rFonts w:ascii="Arial" w:hAnsi="Arial" w:cs="Arial"/>
          <w:noProof w:val="0"/>
          <w:sz w:val="22"/>
          <w:szCs w:val="22"/>
        </w:rPr>
        <w:t xml:space="preserve">Table </w:t>
      </w:r>
      <w:bookmarkStart w:id="1" w:name="BMtab_ms2breaks_unique"/>
      <w:r w:rsidRPr="008950D8">
        <w:rPr>
          <w:rFonts w:ascii="Arial" w:hAnsi="Arial" w:cs="Arial"/>
          <w:noProof w:val="0"/>
          <w:sz w:val="22"/>
          <w:szCs w:val="22"/>
        </w:rPr>
        <w:t>SM-1</w:t>
      </w:r>
      <w:bookmarkEnd w:id="1"/>
      <w:r w:rsidRPr="008950D8">
        <w:rPr>
          <w:rFonts w:ascii="Arial" w:hAnsi="Arial" w:cs="Arial"/>
          <w:noProof w:val="0"/>
          <w:sz w:val="22"/>
          <w:szCs w:val="22"/>
        </w:rPr>
        <w:t xml:space="preserve">: Peptide break statistics for combinations of alternative fragmentation modes - Peptide breaks unique to </w:t>
      </w:r>
      <w:r>
        <w:rPr>
          <w:rFonts w:ascii="Arial" w:hAnsi="Arial" w:cs="Arial"/>
          <w:noProof w:val="0"/>
          <w:sz w:val="22"/>
          <w:szCs w:val="22"/>
        </w:rPr>
        <w:t>a particular fragmentation mode</w:t>
      </w:r>
      <w:r w:rsidRPr="008950D8">
        <w:rPr>
          <w:rFonts w:ascii="Arial" w:hAnsi="Arial" w:cs="Arial"/>
          <w:noProof w:val="0"/>
          <w:sz w:val="22"/>
          <w:szCs w:val="22"/>
        </w:rPr>
        <w:t xml:space="preserve"> or combinations of fragmentation modes were counted over all unique peptides identified by all three fragmentation modes (i</w:t>
      </w:r>
      <w:r>
        <w:rPr>
          <w:rFonts w:ascii="Arial" w:hAnsi="Arial" w:cs="Arial"/>
          <w:noProof w:val="0"/>
          <w:sz w:val="22"/>
          <w:szCs w:val="22"/>
        </w:rPr>
        <w:t>.</w:t>
      </w:r>
      <w:r w:rsidRPr="008950D8">
        <w:rPr>
          <w:rFonts w:ascii="Arial" w:hAnsi="Arial" w:cs="Arial"/>
          <w:noProof w:val="0"/>
          <w:sz w:val="22"/>
          <w:szCs w:val="22"/>
        </w:rPr>
        <w:t>e</w:t>
      </w:r>
      <w:r>
        <w:rPr>
          <w:rFonts w:ascii="Arial" w:hAnsi="Arial" w:cs="Arial"/>
          <w:noProof w:val="0"/>
          <w:sz w:val="22"/>
          <w:szCs w:val="22"/>
        </w:rPr>
        <w:t>.</w:t>
      </w:r>
      <w:r w:rsidRPr="008950D8">
        <w:rPr>
          <w:rFonts w:ascii="Arial" w:hAnsi="Arial" w:cs="Arial"/>
          <w:noProof w:val="0"/>
          <w:sz w:val="22"/>
          <w:szCs w:val="22"/>
        </w:rPr>
        <w:t xml:space="preserve"> each break could only be counted in one of the 7 rows per precursor charge). In CID and HCD spectra, the presence of breaks </w:t>
      </w:r>
      <w:r>
        <w:rPr>
          <w:rFonts w:ascii="Arial" w:hAnsi="Arial" w:cs="Arial"/>
          <w:noProof w:val="0"/>
          <w:sz w:val="22"/>
          <w:szCs w:val="22"/>
        </w:rPr>
        <w:t>was</w:t>
      </w:r>
      <w:r w:rsidRPr="008950D8">
        <w:rPr>
          <w:rFonts w:ascii="Arial" w:hAnsi="Arial" w:cs="Arial"/>
          <w:noProof w:val="0"/>
          <w:sz w:val="22"/>
          <w:szCs w:val="22"/>
        </w:rPr>
        <w:t xml:space="preserve"> indicated by the presence of </w:t>
      </w:r>
      <w:r w:rsidRPr="008950D8">
        <w:rPr>
          <w:rFonts w:ascii="Arial" w:hAnsi="Arial" w:cs="Arial"/>
          <w:i/>
          <w:iCs/>
          <w:noProof w:val="0"/>
          <w:sz w:val="22"/>
          <w:szCs w:val="22"/>
        </w:rPr>
        <w:t>b</w:t>
      </w:r>
      <w:r w:rsidRPr="008950D8">
        <w:rPr>
          <w:rFonts w:ascii="Arial" w:hAnsi="Arial" w:cs="Arial"/>
          <w:noProof w:val="0"/>
          <w:sz w:val="22"/>
          <w:szCs w:val="22"/>
        </w:rPr>
        <w:t xml:space="preserve"> or </w:t>
      </w:r>
      <w:r w:rsidRPr="008950D8">
        <w:rPr>
          <w:rFonts w:ascii="Arial" w:hAnsi="Arial" w:cs="Arial"/>
          <w:i/>
          <w:iCs/>
          <w:noProof w:val="0"/>
          <w:sz w:val="22"/>
          <w:szCs w:val="22"/>
        </w:rPr>
        <w:t>y</w:t>
      </w:r>
      <w:r w:rsidRPr="008950D8">
        <w:rPr>
          <w:rFonts w:ascii="Arial" w:hAnsi="Arial" w:cs="Arial"/>
          <w:noProof w:val="0"/>
          <w:sz w:val="22"/>
          <w:szCs w:val="22"/>
        </w:rPr>
        <w:t xml:space="preserve"> ions. For ETD, </w:t>
      </w:r>
      <w:r w:rsidRPr="008950D8">
        <w:rPr>
          <w:rFonts w:ascii="Arial" w:hAnsi="Arial" w:cs="Arial"/>
          <w:i/>
          <w:iCs/>
          <w:noProof w:val="0"/>
          <w:sz w:val="22"/>
          <w:szCs w:val="22"/>
        </w:rPr>
        <w:t>c</w:t>
      </w:r>
      <w:r>
        <w:rPr>
          <w:rFonts w:ascii="Arial" w:hAnsi="Arial" w:cs="Arial"/>
          <w:noProof w:val="0"/>
          <w:sz w:val="22"/>
          <w:szCs w:val="22"/>
        </w:rPr>
        <w:t xml:space="preserve">, </w:t>
      </w:r>
      <w:r w:rsidRPr="00296AA1">
        <w:rPr>
          <w:rFonts w:ascii="Arial" w:hAnsi="Arial" w:cs="Arial"/>
          <w:i/>
          <w:noProof w:val="0"/>
          <w:sz w:val="22"/>
          <w:szCs w:val="22"/>
        </w:rPr>
        <w:t>z</w:t>
      </w:r>
      <w:r>
        <w:rPr>
          <w:rFonts w:ascii="Arial" w:hAnsi="Arial" w:cs="Arial"/>
          <w:noProof w:val="0"/>
          <w:sz w:val="22"/>
          <w:szCs w:val="22"/>
        </w:rPr>
        <w:t>°</w:t>
      </w:r>
      <w:r w:rsidRPr="008950D8">
        <w:rPr>
          <w:rFonts w:ascii="Arial" w:hAnsi="Arial" w:cs="Arial"/>
          <w:noProof w:val="0"/>
          <w:sz w:val="22"/>
          <w:szCs w:val="22"/>
        </w:rPr>
        <w:t xml:space="preserve">, or </w:t>
      </w:r>
      <w:r w:rsidRPr="00296AA1">
        <w:rPr>
          <w:rFonts w:ascii="Arial" w:hAnsi="Arial" w:cs="Arial"/>
          <w:i/>
          <w:noProof w:val="0"/>
          <w:sz w:val="22"/>
          <w:szCs w:val="22"/>
        </w:rPr>
        <w:t>z</w:t>
      </w:r>
      <w:r>
        <w:rPr>
          <w:rFonts w:ascii="Arial" w:hAnsi="Arial" w:cs="Arial"/>
          <w:noProof w:val="0"/>
          <w:sz w:val="22"/>
          <w:szCs w:val="22"/>
        </w:rPr>
        <w:t>°+</w:t>
      </w:r>
      <w:r w:rsidRPr="008950D8">
        <w:rPr>
          <w:rFonts w:ascii="Arial" w:hAnsi="Arial" w:cs="Arial"/>
          <w:noProof w:val="0"/>
          <w:sz w:val="22"/>
          <w:szCs w:val="22"/>
        </w:rPr>
        <w:t xml:space="preserve">H ions indicated the presence of a peptide break. Multiply charged ions (up to the spectrum’s precursor charge) were also considered in each spectrum. Prior to this analysis, peak filtering </w:t>
      </w:r>
      <w:r w:rsidRPr="008950D8">
        <w:rPr>
          <w:rFonts w:ascii="Arial" w:hAnsi="Arial" w:cs="Arial"/>
          <w:noProof w:val="0"/>
          <w:sz w:val="22"/>
          <w:szCs w:val="22"/>
        </w:rPr>
        <w:lastRenderedPageBreak/>
        <w:t xml:space="preserve">was applied all CID, HCD, and ETD spectra such that each peak was retained only if its intensity was ranked 5th or higher </w:t>
      </w:r>
      <w:proofErr w:type="spellStart"/>
      <w:r w:rsidRPr="008950D8">
        <w:rPr>
          <w:rFonts w:ascii="Arial" w:hAnsi="Arial" w:cs="Arial"/>
          <w:noProof w:val="0"/>
          <w:sz w:val="22"/>
          <w:szCs w:val="22"/>
        </w:rPr>
        <w:t>over all</w:t>
      </w:r>
      <w:proofErr w:type="spellEnd"/>
      <w:r w:rsidRPr="008950D8">
        <w:rPr>
          <w:rFonts w:ascii="Arial" w:hAnsi="Arial" w:cs="Arial"/>
          <w:noProof w:val="0"/>
          <w:sz w:val="22"/>
          <w:szCs w:val="22"/>
        </w:rPr>
        <w:t xml:space="preserve"> neighboring peaks in a </w:t>
      </w:r>
      <w:r>
        <w:rPr>
          <w:rFonts w:ascii="Arial" w:hAnsi="Arial" w:cs="Arial"/>
          <w:noProof w:val="0"/>
          <w:sz w:val="22"/>
          <w:szCs w:val="22"/>
        </w:rPr>
        <w:t>±</w:t>
      </w:r>
      <w:r w:rsidRPr="008950D8">
        <w:rPr>
          <w:rFonts w:ascii="Arial" w:hAnsi="Arial" w:cs="Arial"/>
          <w:noProof w:val="0"/>
          <w:sz w:val="22"/>
          <w:szCs w:val="22"/>
        </w:rPr>
        <w:t>56 Da radius. If a peptide was identified by more than one CID, HCD, or ETD spectrum, a single representative spectrum was randomly chosen for each fragmentation mode.</w:t>
      </w:r>
      <w:r w:rsidRPr="008950D8">
        <w:rPr>
          <w:rFonts w:ascii="Arial" w:hAnsi="Arial" w:cs="Arial"/>
          <w:noProof w:val="0"/>
          <w:sz w:val="22"/>
          <w:szCs w:val="22"/>
        </w:rPr>
        <w:fldChar w:fldCharType="begin"/>
      </w:r>
      <w:r w:rsidRPr="008950D8">
        <w:rPr>
          <w:rFonts w:ascii="Arial" w:hAnsi="Arial" w:cs="Arial"/>
          <w:noProof w:val="0"/>
          <w:sz w:val="22"/>
          <w:szCs w:val="22"/>
        </w:rPr>
        <w:instrText xml:space="preserve">TC "1 Peptide break statistics for combinations of alternative fragmentation modes - Peptide breaks unique to a particular fragmentation modes or combinations of fragmentation modes were counted over all unique peptides identified by all three fragmentation modes (ie each break could only be counted in one of the 7 rows per precursor charge). In CID and HCD spectra, the presence of breaks were indicated by the presence of </w:instrText>
      </w:r>
      <w:r w:rsidRPr="008950D8">
        <w:rPr>
          <w:rFonts w:ascii="Arial" w:hAnsi="Arial" w:cs="Arial"/>
          <w:i/>
          <w:iCs/>
          <w:noProof w:val="0"/>
          <w:sz w:val="22"/>
          <w:szCs w:val="22"/>
        </w:rPr>
        <w:instrText>b</w:instrText>
      </w:r>
      <w:r w:rsidRPr="008950D8">
        <w:rPr>
          <w:rFonts w:ascii="Arial" w:hAnsi="Arial" w:cs="Arial"/>
          <w:noProof w:val="0"/>
          <w:sz w:val="22"/>
          <w:szCs w:val="22"/>
        </w:rPr>
        <w:instrText xml:space="preserve"> or </w:instrText>
      </w:r>
      <w:r w:rsidRPr="008950D8">
        <w:rPr>
          <w:rFonts w:ascii="Arial" w:hAnsi="Arial" w:cs="Arial"/>
          <w:i/>
          <w:iCs/>
          <w:noProof w:val="0"/>
          <w:sz w:val="22"/>
          <w:szCs w:val="22"/>
        </w:rPr>
        <w:instrText>y</w:instrText>
      </w:r>
      <w:r w:rsidRPr="008950D8">
        <w:rPr>
          <w:rFonts w:ascii="Arial" w:hAnsi="Arial" w:cs="Arial"/>
          <w:noProof w:val="0"/>
          <w:sz w:val="22"/>
          <w:szCs w:val="22"/>
        </w:rPr>
        <w:instrText xml:space="preserve"> ions. For ETD, </w:instrText>
      </w:r>
      <w:r w:rsidRPr="008950D8">
        <w:rPr>
          <w:rFonts w:ascii="Arial" w:hAnsi="Arial" w:cs="Arial"/>
          <w:i/>
          <w:iCs/>
          <w:noProof w:val="0"/>
          <w:sz w:val="22"/>
          <w:szCs w:val="22"/>
        </w:rPr>
        <w:instrText>c</w:instrText>
      </w:r>
      <w:r w:rsidRPr="008950D8">
        <w:rPr>
          <w:rFonts w:ascii="Arial" w:hAnsi="Arial" w:cs="Arial"/>
          <w:noProof w:val="0"/>
          <w:sz w:val="22"/>
          <w:szCs w:val="22"/>
        </w:rPr>
        <w:instrText xml:space="preserve">, </w:instrText>
      </w:r>
      <w:r w:rsidRPr="008950D8">
        <w:rPr>
          <w:rFonts w:ascii="Arial" w:hAnsi="Arial" w:cs="Arial"/>
          <w:noProof w:val="0"/>
          <w:sz w:val="22"/>
          <w:szCs w:val="22"/>
        </w:rPr>
        <w:fldChar w:fldCharType="begin"/>
      </w:r>
      <w:r w:rsidRPr="008950D8">
        <w:rPr>
          <w:rFonts w:ascii="Arial" w:hAnsi="Arial" w:cs="Arial"/>
          <w:noProof w:val="0"/>
          <w:sz w:val="22"/>
          <w:szCs w:val="22"/>
        </w:rPr>
        <w:instrText xml:space="preserve"> EQ </w:instrText>
      </w:r>
      <w:r w:rsidRPr="008950D8">
        <w:rPr>
          <w:rFonts w:ascii="Arial" w:hAnsi="Arial" w:cs="Arial"/>
          <w:i/>
          <w:iCs/>
          <w:noProof w:val="0"/>
          <w:sz w:val="22"/>
          <w:szCs w:val="22"/>
        </w:rPr>
        <w:instrText>z</w:instrText>
      </w:r>
      <w:r w:rsidRPr="008950D8">
        <w:rPr>
          <w:rFonts w:ascii="Arial" w:hAnsi="Arial" w:cs="Arial"/>
          <w:noProof w:val="0"/>
          <w:sz w:val="22"/>
          <w:szCs w:val="22"/>
        </w:rPr>
        <w:instrText>\s\up5(</w:instrText>
      </w:r>
      <w:r w:rsidRPr="008950D8">
        <w:rPr>
          <w:rFonts w:ascii="Arial" w:hAnsi="Arial" w:cs="Arial"/>
          <w:noProof w:val="0"/>
          <w:sz w:val="22"/>
          <w:szCs w:val="22"/>
        </w:rPr>
        <w:instrText>)</w:instrText>
      </w:r>
      <w:r w:rsidRPr="008950D8">
        <w:rPr>
          <w:rFonts w:ascii="Arial" w:hAnsi="Arial" w:cs="Arial"/>
          <w:noProof w:val="0"/>
          <w:sz w:val="22"/>
          <w:szCs w:val="22"/>
        </w:rPr>
        <w:fldChar w:fldCharType="end"/>
      </w:r>
      <w:r w:rsidRPr="008950D8">
        <w:rPr>
          <w:rFonts w:ascii="Arial" w:hAnsi="Arial" w:cs="Arial"/>
          <w:noProof w:val="0"/>
          <w:sz w:val="22"/>
          <w:szCs w:val="22"/>
        </w:rPr>
        <w:instrText xml:space="preserve">, or </w:instrText>
      </w:r>
      <w:r w:rsidRPr="008950D8">
        <w:rPr>
          <w:rFonts w:ascii="Arial" w:hAnsi="Arial" w:cs="Arial"/>
          <w:noProof w:val="0"/>
          <w:sz w:val="22"/>
          <w:szCs w:val="22"/>
        </w:rPr>
        <w:fldChar w:fldCharType="begin"/>
      </w:r>
      <w:r w:rsidRPr="008950D8">
        <w:rPr>
          <w:rFonts w:ascii="Arial" w:hAnsi="Arial" w:cs="Arial"/>
          <w:noProof w:val="0"/>
          <w:sz w:val="22"/>
          <w:szCs w:val="22"/>
        </w:rPr>
        <w:instrText xml:space="preserve"> EQ </w:instrText>
      </w:r>
      <w:r w:rsidRPr="008950D8">
        <w:rPr>
          <w:rFonts w:ascii="Arial" w:hAnsi="Arial" w:cs="Arial"/>
          <w:i/>
          <w:iCs/>
          <w:noProof w:val="0"/>
          <w:sz w:val="22"/>
          <w:szCs w:val="22"/>
        </w:rPr>
        <w:instrText>z</w:instrText>
      </w:r>
      <w:r w:rsidRPr="008950D8">
        <w:rPr>
          <w:rFonts w:ascii="Arial" w:hAnsi="Arial" w:cs="Arial"/>
          <w:noProof w:val="0"/>
          <w:sz w:val="22"/>
          <w:szCs w:val="22"/>
        </w:rPr>
        <w:instrText>\s\up5(</w:instrText>
      </w:r>
      <w:r w:rsidRPr="008950D8">
        <w:rPr>
          <w:rFonts w:ascii="Arial" w:hAnsi="Arial" w:cs="Arial"/>
          <w:noProof w:val="0"/>
          <w:sz w:val="22"/>
          <w:szCs w:val="22"/>
        </w:rPr>
        <w:instrText>)+</w:instrText>
      </w:r>
      <w:r w:rsidRPr="008950D8">
        <w:rPr>
          <w:rFonts w:ascii="Arial" w:hAnsi="Arial" w:cs="Arial"/>
          <w:noProof w:val="0"/>
          <w:sz w:val="22"/>
          <w:szCs w:val="22"/>
        </w:rPr>
        <w:fldChar w:fldCharType="end"/>
      </w:r>
      <w:r w:rsidRPr="008950D8">
        <w:rPr>
          <w:rFonts w:ascii="Arial" w:hAnsi="Arial" w:cs="Arial"/>
          <w:noProof w:val="0"/>
          <w:sz w:val="22"/>
          <w:szCs w:val="22"/>
        </w:rPr>
        <w:instrText>H ions indicated the presence of a peptide break. Multiply charged ions (up to the spectrum’s precursor charge) were also considered in each spectrum. Prior to this analysis, peak filtering was applied all CID, HCD, and ETD spectra such that each peak was retained only if its intensity was ranked 5th or higher over all neighboring peaks in a +/- 56 Da radius. If a peptide was identified by more than one CID, HCD, or ETD spectrum, a single representative spectrum was randomly chosen for each fragmentation mode." \f t</w:instrText>
      </w:r>
      <w:r w:rsidRPr="008950D8">
        <w:rPr>
          <w:rFonts w:ascii="Arial" w:hAnsi="Arial" w:cs="Arial"/>
          <w:noProof w:val="0"/>
          <w:sz w:val="22"/>
          <w:szCs w:val="22"/>
        </w:rPr>
        <w:fldChar w:fldCharType="end"/>
      </w:r>
    </w:p>
    <w:p w:rsidR="00B576CD" w:rsidRPr="00DF5366" w:rsidRDefault="00B576CD" w:rsidP="00B576CD">
      <w:pPr>
        <w:widowControl/>
        <w:spacing w:before="480"/>
        <w:jc w:val="both"/>
        <w:rPr>
          <w:rFonts w:ascii="Arial" w:hAnsi="Arial" w:cs="Arial"/>
          <w:noProof w:val="0"/>
          <w:sz w:val="24"/>
          <w:szCs w:val="24"/>
        </w:rPr>
      </w:pPr>
      <w:r w:rsidRPr="00DF5366">
        <w:rPr>
          <w:rFonts w:ascii="Arial" w:hAnsi="Arial" w:cs="Arial"/>
          <w:noProof w:val="0"/>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828"/>
        <w:gridCol w:w="222"/>
        <w:gridCol w:w="828"/>
        <w:gridCol w:w="222"/>
        <w:gridCol w:w="828"/>
        <w:gridCol w:w="222"/>
        <w:gridCol w:w="828"/>
        <w:gridCol w:w="222"/>
        <w:gridCol w:w="1354"/>
      </w:tblGrid>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p>
        </w:tc>
        <w:tc>
          <w:tcPr>
            <w:tcW w:w="0" w:type="auto"/>
            <w:tcBorders>
              <w:bottom w:val="single" w:sz="4" w:space="0" w:color="auto"/>
            </w:tcBorders>
            <w:vAlign w:val="bottom"/>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CID</w:t>
            </w:r>
          </w:p>
        </w:tc>
        <w:tc>
          <w:tcPr>
            <w:tcW w:w="0" w:type="auto"/>
          </w:tcPr>
          <w:p w:rsidR="00B576CD" w:rsidRDefault="00B576CD" w:rsidP="00220CFE">
            <w:pPr>
              <w:widowControl/>
              <w:jc w:val="center"/>
              <w:rPr>
                <w:rFonts w:ascii="Arial" w:hAnsi="Arial" w:cs="Arial"/>
                <w:noProof w:val="0"/>
                <w:sz w:val="22"/>
                <w:szCs w:val="22"/>
              </w:rPr>
            </w:pPr>
          </w:p>
        </w:tc>
        <w:tc>
          <w:tcPr>
            <w:tcW w:w="0" w:type="auto"/>
            <w:tcBorders>
              <w:bottom w:val="single" w:sz="4" w:space="0" w:color="auto"/>
            </w:tcBorders>
            <w:vAlign w:val="bottom"/>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HCD</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bottom w:val="single" w:sz="4" w:space="0" w:color="auto"/>
            </w:tcBorders>
            <w:vAlign w:val="bottom"/>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ETD</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bottom w:val="single" w:sz="4" w:space="0" w:color="auto"/>
            </w:tcBorders>
            <w:vAlign w:val="bottom"/>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Union</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bottom w:val="single" w:sz="4" w:space="0" w:color="auto"/>
            </w:tcBorders>
            <w:vAlign w:val="bottom"/>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Intersection</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All Charges</w:t>
            </w: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14327</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17385</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10813</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23362</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tcBorders>
              <w:top w:val="single" w:sz="4" w:space="0" w:color="auto"/>
            </w:tcBorders>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8037</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Charge 2</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9068</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10629</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5583</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12456</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4361</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Charge 3</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5282</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6854</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4708</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8387</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2873</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Charge 4</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1306</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1534</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1305</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2109</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712</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Charge 5</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196</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201</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244</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359</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87</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sidRPr="00F9738C">
              <w:rPr>
                <w:rFonts w:ascii="Arial" w:hAnsi="Arial" w:cs="Arial"/>
                <w:noProof w:val="0"/>
                <w:sz w:val="22"/>
                <w:szCs w:val="22"/>
              </w:rPr>
              <w:t>Charge 6</w:t>
            </w: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13</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20</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38</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46</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4</w:t>
            </w:r>
          </w:p>
        </w:tc>
      </w:tr>
      <w:tr w:rsidR="00B576CD" w:rsidTr="00220CFE">
        <w:trPr>
          <w:trHeight w:hRule="exact" w:val="288"/>
          <w:jc w:val="center"/>
        </w:trPr>
        <w:tc>
          <w:tcPr>
            <w:tcW w:w="0" w:type="auto"/>
            <w:vAlign w:val="center"/>
          </w:tcPr>
          <w:p w:rsidR="00B576CD" w:rsidRPr="00F9738C" w:rsidRDefault="00B576CD" w:rsidP="00220CFE">
            <w:pPr>
              <w:widowControl/>
              <w:jc w:val="both"/>
              <w:rPr>
                <w:rFonts w:ascii="Arial" w:hAnsi="Arial" w:cs="Arial"/>
                <w:noProof w:val="0"/>
                <w:sz w:val="22"/>
                <w:szCs w:val="22"/>
              </w:rPr>
            </w:pPr>
            <w:r>
              <w:rPr>
                <w:rFonts w:ascii="Arial" w:hAnsi="Arial" w:cs="Arial"/>
                <w:noProof w:val="0"/>
                <w:sz w:val="22"/>
                <w:szCs w:val="22"/>
              </w:rPr>
              <w:t>Charge 7</w:t>
            </w:r>
          </w:p>
        </w:tc>
        <w:tc>
          <w:tcPr>
            <w:tcW w:w="0" w:type="auto"/>
            <w:vAlign w:val="center"/>
          </w:tcPr>
          <w:p w:rsidR="00B576CD" w:rsidRDefault="00B576CD" w:rsidP="00220CFE">
            <w:pPr>
              <w:widowControl/>
              <w:jc w:val="center"/>
              <w:rPr>
                <w:rFonts w:ascii="Arial" w:hAnsi="Arial" w:cs="Arial"/>
                <w:noProof w:val="0"/>
                <w:sz w:val="22"/>
                <w:szCs w:val="22"/>
              </w:rPr>
            </w:pPr>
            <w:r>
              <w:rPr>
                <w:rFonts w:ascii="Arial" w:hAnsi="Arial" w:cs="Arial"/>
                <w:noProof w:val="0"/>
                <w:sz w:val="22"/>
                <w:szCs w:val="22"/>
              </w:rPr>
              <w:t>1</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1</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5</w:t>
            </w:r>
          </w:p>
        </w:tc>
        <w:tc>
          <w:tcPr>
            <w:tcW w:w="0" w:type="auto"/>
          </w:tcPr>
          <w:p w:rsidR="00B576CD" w:rsidRPr="00F9738C" w:rsidRDefault="00B576CD" w:rsidP="00220CFE">
            <w:pPr>
              <w:widowControl/>
              <w:jc w:val="center"/>
              <w:rPr>
                <w:rFonts w:ascii="Arial" w:hAnsi="Arial" w:cs="Arial"/>
                <w:noProof w:val="0"/>
                <w:sz w:val="22"/>
                <w:szCs w:val="22"/>
              </w:rPr>
            </w:pPr>
          </w:p>
        </w:tc>
        <w:tc>
          <w:tcPr>
            <w:tcW w:w="0" w:type="auto"/>
            <w:vAlign w:val="center"/>
          </w:tcPr>
          <w:p w:rsidR="00B576CD" w:rsidRPr="00F9738C" w:rsidRDefault="00B576CD" w:rsidP="00220CFE">
            <w:pPr>
              <w:widowControl/>
              <w:jc w:val="center"/>
              <w:rPr>
                <w:rFonts w:ascii="Arial" w:hAnsi="Arial" w:cs="Arial"/>
                <w:noProof w:val="0"/>
                <w:sz w:val="22"/>
                <w:szCs w:val="22"/>
              </w:rPr>
            </w:pPr>
            <w:r>
              <w:rPr>
                <w:rFonts w:ascii="Arial" w:hAnsi="Arial" w:cs="Arial"/>
                <w:noProof w:val="0"/>
                <w:sz w:val="22"/>
                <w:szCs w:val="22"/>
              </w:rPr>
              <w:t>0</w:t>
            </w:r>
          </w:p>
        </w:tc>
      </w:tr>
    </w:tbl>
    <w:p w:rsidR="00B576CD" w:rsidRDefault="00B576CD" w:rsidP="00B576CD">
      <w:pPr>
        <w:widowControl/>
        <w:rPr>
          <w:rFonts w:ascii="Arial" w:hAnsi="Arial" w:cs="Arial"/>
          <w:noProof w:val="0"/>
          <w:sz w:val="24"/>
          <w:szCs w:val="24"/>
        </w:rPr>
      </w:pPr>
    </w:p>
    <w:p w:rsidR="00B576CD" w:rsidRPr="00437F7B" w:rsidRDefault="00B576CD" w:rsidP="00B576CD">
      <w:pPr>
        <w:widowControl/>
        <w:spacing w:line="480" w:lineRule="auto"/>
        <w:jc w:val="both"/>
        <w:rPr>
          <w:rFonts w:ascii="Arial" w:hAnsi="Arial" w:cs="Arial"/>
          <w:noProof w:val="0"/>
          <w:sz w:val="22"/>
          <w:szCs w:val="22"/>
        </w:rPr>
      </w:pPr>
      <w:r w:rsidRPr="00437F7B">
        <w:rPr>
          <w:rFonts w:ascii="Arial" w:hAnsi="Arial" w:cs="Arial"/>
          <w:noProof w:val="0"/>
          <w:sz w:val="22"/>
          <w:szCs w:val="22"/>
        </w:rPr>
        <w:t xml:space="preserve">Table </w:t>
      </w:r>
      <w:bookmarkStart w:id="2" w:name="BMtab_ms2ids_unique"/>
      <w:r w:rsidRPr="00437F7B">
        <w:rPr>
          <w:rFonts w:ascii="Arial" w:hAnsi="Arial" w:cs="Arial"/>
          <w:noProof w:val="0"/>
          <w:sz w:val="22"/>
          <w:szCs w:val="22"/>
        </w:rPr>
        <w:t>2</w:t>
      </w:r>
      <w:bookmarkEnd w:id="2"/>
      <w:r w:rsidRPr="00437F7B">
        <w:rPr>
          <w:rFonts w:ascii="Arial" w:hAnsi="Arial" w:cs="Arial"/>
          <w:noProof w:val="0"/>
          <w:sz w:val="22"/>
          <w:szCs w:val="22"/>
        </w:rPr>
        <w:t>: Unique PSMs for alternative fragmentation modes - The left three columns detail the number of unique PSMs per precursor charge state and per fragmentation method. Remaining columns count the number of unique peptides identified by at least on</w:t>
      </w:r>
      <w:r>
        <w:rPr>
          <w:rFonts w:ascii="Arial" w:hAnsi="Arial" w:cs="Arial"/>
          <w:noProof w:val="0"/>
          <w:sz w:val="22"/>
          <w:szCs w:val="22"/>
        </w:rPr>
        <w:t>e</w:t>
      </w:r>
      <w:r w:rsidRPr="00437F7B">
        <w:rPr>
          <w:rFonts w:ascii="Arial" w:hAnsi="Arial" w:cs="Arial"/>
          <w:noProof w:val="0"/>
          <w:sz w:val="22"/>
          <w:szCs w:val="22"/>
        </w:rPr>
        <w:t xml:space="preserve"> of the three fragmentation methods (Union) and the number of unique peptides identified by all three fragmentation methods (Intersection).</w:t>
      </w:r>
      <w:r w:rsidRPr="00437F7B">
        <w:rPr>
          <w:rFonts w:ascii="Arial" w:hAnsi="Arial" w:cs="Arial"/>
          <w:noProof w:val="0"/>
          <w:sz w:val="22"/>
          <w:szCs w:val="22"/>
        </w:rPr>
        <w:fldChar w:fldCharType="begin"/>
      </w:r>
      <w:r w:rsidRPr="00437F7B">
        <w:rPr>
          <w:rFonts w:ascii="Arial" w:hAnsi="Arial" w:cs="Arial"/>
          <w:noProof w:val="0"/>
          <w:sz w:val="22"/>
          <w:szCs w:val="22"/>
        </w:rPr>
        <w:instrText>TC "2 Unique PSMs for alternative fragmentation modes - The left three columns detail the number of unique PSMs per precursor charge state and per fragmentation method. Remaining columns count the number of unique peptides identified by at least on of the three fragmentation methods (Union) and the number of unique peptides identified by all three fragmentation methods (Intersection)." \f t</w:instrText>
      </w:r>
      <w:r w:rsidRPr="00437F7B">
        <w:rPr>
          <w:rFonts w:ascii="Arial" w:hAnsi="Arial" w:cs="Arial"/>
          <w:noProof w:val="0"/>
          <w:sz w:val="22"/>
          <w:szCs w:val="22"/>
        </w:rPr>
        <w:fldChar w:fldCharType="end"/>
      </w:r>
    </w:p>
    <w:p w:rsidR="00640BA3" w:rsidRDefault="00640BA3"/>
    <w:sectPr w:rsidR="00640BA3">
      <w:footerReference w:type="default" r:id="rId7"/>
      <w:pgSz w:w="12280" w:h="15900"/>
      <w:pgMar w:top="1445" w:right="1445" w:bottom="1445" w:left="1445"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1460C">
      <w:r>
        <w:separator/>
      </w:r>
    </w:p>
  </w:endnote>
  <w:endnote w:type="continuationSeparator" w:id="0">
    <w:p w:rsidR="00000000" w:rsidRDefault="00714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639" w:rsidRDefault="00B576CD">
    <w:pPr>
      <w:jc w:val="center"/>
      <w:rPr>
        <w:sz w:val="22"/>
        <w:szCs w:val="22"/>
      </w:rPr>
    </w:pPr>
    <w:r>
      <w:rPr>
        <w:sz w:val="22"/>
        <w:szCs w:val="22"/>
      </w:rPr>
      <w:pgNum/>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1460C">
      <w:r>
        <w:separator/>
      </w:r>
    </w:p>
  </w:footnote>
  <w:footnote w:type="continuationSeparator" w:id="0">
    <w:p w:rsidR="00000000" w:rsidRDefault="00714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CD"/>
    <w:rsid w:val="00640BA3"/>
    <w:rsid w:val="0071460C"/>
    <w:rsid w:val="00B576CD"/>
    <w:rsid w:val="00FD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CD"/>
    <w:pPr>
      <w:widowControl w:val="0"/>
      <w:autoSpaceDE w:val="0"/>
      <w:autoSpaceDN w:val="0"/>
      <w:adjustRightInd w:val="0"/>
      <w:spacing w:after="0" w:line="240" w:lineRule="auto"/>
    </w:pPr>
    <w:rPr>
      <w:rFonts w:ascii="Times" w:eastAsiaTheme="minorEastAsia" w:hAnsi="Times" w:cs="Times"/>
      <w:noProof/>
      <w:sz w:val="20"/>
      <w:szCs w:val="20"/>
    </w:rPr>
  </w:style>
  <w:style w:type="paragraph" w:styleId="Heading1">
    <w:name w:val="heading 1"/>
    <w:basedOn w:val="Normal"/>
    <w:next w:val="Normal"/>
    <w:link w:val="Heading1Char"/>
    <w:uiPriority w:val="99"/>
    <w:qFormat/>
    <w:rsid w:val="00B576CD"/>
    <w:pPr>
      <w:keepNext/>
      <w:spacing w:before="240" w:after="60" w:line="360" w:lineRule="auto"/>
      <w:outlineLvl w:val="0"/>
    </w:pPr>
    <w:rPr>
      <w:rFonts w:ascii="Arial" w:hAnsi="Arial"/>
      <w:b/>
      <w:bCs/>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76CD"/>
    <w:rPr>
      <w:rFonts w:ascii="Arial" w:eastAsiaTheme="minorEastAsia" w:hAnsi="Arial" w:cs="Times"/>
      <w:b/>
      <w:bCs/>
      <w:noProof/>
      <w:sz w:val="28"/>
      <w:szCs w:val="40"/>
    </w:rPr>
  </w:style>
  <w:style w:type="table" w:styleId="TableGrid">
    <w:name w:val="Table Grid"/>
    <w:basedOn w:val="TableNormal"/>
    <w:uiPriority w:val="59"/>
    <w:rsid w:val="00B576C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CD"/>
    <w:pPr>
      <w:widowControl w:val="0"/>
      <w:autoSpaceDE w:val="0"/>
      <w:autoSpaceDN w:val="0"/>
      <w:adjustRightInd w:val="0"/>
      <w:spacing w:after="0" w:line="240" w:lineRule="auto"/>
    </w:pPr>
    <w:rPr>
      <w:rFonts w:ascii="Times" w:eastAsiaTheme="minorEastAsia" w:hAnsi="Times" w:cs="Times"/>
      <w:noProof/>
      <w:sz w:val="20"/>
      <w:szCs w:val="20"/>
    </w:rPr>
  </w:style>
  <w:style w:type="paragraph" w:styleId="Heading1">
    <w:name w:val="heading 1"/>
    <w:basedOn w:val="Normal"/>
    <w:next w:val="Normal"/>
    <w:link w:val="Heading1Char"/>
    <w:uiPriority w:val="99"/>
    <w:qFormat/>
    <w:rsid w:val="00B576CD"/>
    <w:pPr>
      <w:keepNext/>
      <w:spacing w:before="240" w:after="60" w:line="360" w:lineRule="auto"/>
      <w:outlineLvl w:val="0"/>
    </w:pPr>
    <w:rPr>
      <w:rFonts w:ascii="Arial" w:hAnsi="Arial"/>
      <w:b/>
      <w:bCs/>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576CD"/>
    <w:rPr>
      <w:rFonts w:ascii="Arial" w:eastAsiaTheme="minorEastAsia" w:hAnsi="Arial" w:cs="Times"/>
      <w:b/>
      <w:bCs/>
      <w:noProof/>
      <w:sz w:val="28"/>
      <w:szCs w:val="40"/>
    </w:rPr>
  </w:style>
  <w:style w:type="table" w:styleId="TableGrid">
    <w:name w:val="Table Grid"/>
    <w:basedOn w:val="TableNormal"/>
    <w:uiPriority w:val="59"/>
    <w:rsid w:val="00B576CD"/>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aguthals</dc:creator>
  <cp:lastModifiedBy>aguthals</cp:lastModifiedBy>
  <cp:revision>2</cp:revision>
  <dcterms:created xsi:type="dcterms:W3CDTF">2012-05-18T01:18:00Z</dcterms:created>
  <dcterms:modified xsi:type="dcterms:W3CDTF">2012-05-18T01:24:00Z</dcterms:modified>
</cp:coreProperties>
</file>