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F51BA9" w14:textId="77777777" w:rsidR="00BC7F44" w:rsidRPr="00BC7F44" w:rsidRDefault="00BC7F44" w:rsidP="00BC7F44">
      <w:pPr>
        <w:rPr>
          <w:b/>
          <w:bCs/>
        </w:rPr>
      </w:pPr>
      <w:r w:rsidRPr="00BC7F44">
        <w:rPr>
          <w:b/>
          <w:bCs/>
        </w:rPr>
        <w:t>Phase 2: Org Setup &amp; Configuration</w:t>
      </w:r>
    </w:p>
    <w:p w14:paraId="7C33024D" w14:textId="77777777" w:rsidR="00BC7F44" w:rsidRPr="00BC7F44" w:rsidRDefault="00BC7F44" w:rsidP="00BC7F44">
      <w:r w:rsidRPr="00BC7F44">
        <w:t xml:space="preserve">As part of building a strong Salesforce foundation, </w:t>
      </w:r>
      <w:r w:rsidRPr="00BC7F44">
        <w:rPr>
          <w:b/>
          <w:bCs/>
        </w:rPr>
        <w:t>WhatNext Vision Motos</w:t>
      </w:r>
      <w:r w:rsidRPr="00BC7F44">
        <w:t xml:space="preserve"> focuses on configuring its Salesforce Org to align with it</w:t>
      </w:r>
      <w:r>
        <w:t>s</w:t>
      </w:r>
      <w:r w:rsidRPr="00BC7F44">
        <w:t xml:space="preserve">s vision of </w:t>
      </w:r>
      <w:r w:rsidRPr="00BC7F44">
        <w:rPr>
          <w:i/>
          <w:iCs/>
        </w:rPr>
        <w:t>shaping the future of mobility with innovation and excellence</w:t>
      </w:r>
      <w:r w:rsidRPr="00BC7F44">
        <w:t>. Each configuration ensures secure, scalable, and business-aligned operations.</w:t>
      </w:r>
    </w:p>
    <w:p w14:paraId="4BEC30FE" w14:textId="77777777" w:rsidR="00BC7F44" w:rsidRPr="00BC7F44" w:rsidRDefault="00BC7F44" w:rsidP="00BC7F44">
      <w:pPr>
        <w:rPr>
          <w:b/>
          <w:bCs/>
        </w:rPr>
      </w:pPr>
      <w:r w:rsidRPr="00BC7F44">
        <w:rPr>
          <w:b/>
          <w:bCs/>
        </w:rPr>
        <w:t>Salesforce Editions</w:t>
      </w:r>
    </w:p>
    <w:p w14:paraId="3F206534" w14:textId="77777777" w:rsidR="00BC7F44" w:rsidRPr="00BC7F44" w:rsidRDefault="00BC7F44" w:rsidP="00BC7F44">
      <w:pPr>
        <w:numPr>
          <w:ilvl w:val="0"/>
          <w:numId w:val="1"/>
        </w:numPr>
      </w:pPr>
      <w:r w:rsidRPr="00BC7F44">
        <w:t>Selection of the appropriate Salesforce Edition (Enterprise/Unlimited) to balance scalability and cost.</w:t>
      </w:r>
    </w:p>
    <w:p w14:paraId="58D74911" w14:textId="77777777" w:rsidR="00BC7F44" w:rsidRPr="00BC7F44" w:rsidRDefault="00BC7F44" w:rsidP="00BC7F44">
      <w:pPr>
        <w:numPr>
          <w:ilvl w:val="0"/>
          <w:numId w:val="1"/>
        </w:numPr>
      </w:pPr>
      <w:r w:rsidRPr="00BC7F44">
        <w:t>Ensures flexibility for future mobility innovations and customer-centric growth.</w:t>
      </w:r>
    </w:p>
    <w:p w14:paraId="561AEE76" w14:textId="77777777" w:rsidR="00BC7F44" w:rsidRPr="00BC7F44" w:rsidRDefault="00BC7F44" w:rsidP="00BC7F44">
      <w:pPr>
        <w:rPr>
          <w:b/>
          <w:bCs/>
        </w:rPr>
      </w:pPr>
      <w:r w:rsidRPr="00BC7F44">
        <w:rPr>
          <w:b/>
          <w:bCs/>
        </w:rPr>
        <w:t>Company Profile Setup</w:t>
      </w:r>
    </w:p>
    <w:p w14:paraId="623B042D" w14:textId="77777777" w:rsidR="00BC7F44" w:rsidRPr="00BC7F44" w:rsidRDefault="00BC7F44" w:rsidP="00BC7F44">
      <w:pPr>
        <w:numPr>
          <w:ilvl w:val="0"/>
          <w:numId w:val="2"/>
        </w:numPr>
      </w:pPr>
      <w:r w:rsidRPr="00BC7F44">
        <w:t>Accurate company information, primary contact, and default currency setup.</w:t>
      </w:r>
    </w:p>
    <w:p w14:paraId="0D1C0DFD" w14:textId="77777777" w:rsidR="00BC7F44" w:rsidRPr="00BC7F44" w:rsidRDefault="00BC7F44" w:rsidP="00BC7F44">
      <w:pPr>
        <w:numPr>
          <w:ilvl w:val="0"/>
          <w:numId w:val="2"/>
        </w:numPr>
      </w:pPr>
      <w:r w:rsidRPr="00BC7F44">
        <w:t>Aligns Salesforce with organizational branding and compliance needs.</w:t>
      </w:r>
    </w:p>
    <w:p w14:paraId="08515C02" w14:textId="77777777" w:rsidR="00BC7F44" w:rsidRPr="00BC7F44" w:rsidRDefault="00BC7F44" w:rsidP="00BC7F44">
      <w:pPr>
        <w:rPr>
          <w:b/>
          <w:bCs/>
        </w:rPr>
      </w:pPr>
      <w:r w:rsidRPr="00BC7F44">
        <w:rPr>
          <w:b/>
          <w:bCs/>
        </w:rPr>
        <w:t>Business Hours &amp; Holidays</w:t>
      </w:r>
    </w:p>
    <w:p w14:paraId="34437BF0" w14:textId="77777777" w:rsidR="00BC7F44" w:rsidRPr="00BC7F44" w:rsidRDefault="00BC7F44" w:rsidP="00BC7F44">
      <w:pPr>
        <w:numPr>
          <w:ilvl w:val="0"/>
          <w:numId w:val="3"/>
        </w:numPr>
      </w:pPr>
      <w:r w:rsidRPr="00BC7F44">
        <w:t>Defining working hours and holiday calendars for customer service and internal operations.</w:t>
      </w:r>
    </w:p>
    <w:p w14:paraId="1BF67D68" w14:textId="77777777" w:rsidR="00BC7F44" w:rsidRPr="00BC7F44" w:rsidRDefault="00BC7F44" w:rsidP="00BC7F44">
      <w:pPr>
        <w:numPr>
          <w:ilvl w:val="0"/>
          <w:numId w:val="3"/>
        </w:numPr>
      </w:pPr>
      <w:r w:rsidRPr="00BC7F44">
        <w:t>Supports seamless mobility service operations and after-sales support.</w:t>
      </w:r>
    </w:p>
    <w:p w14:paraId="5A35C2BD" w14:textId="77777777" w:rsidR="00BC7F44" w:rsidRPr="00BC7F44" w:rsidRDefault="00BC7F44" w:rsidP="00BC7F44">
      <w:pPr>
        <w:rPr>
          <w:b/>
          <w:bCs/>
        </w:rPr>
      </w:pPr>
      <w:r w:rsidRPr="00BC7F44">
        <w:rPr>
          <w:b/>
          <w:bCs/>
        </w:rPr>
        <w:t>Fiscal Year Settings</w:t>
      </w:r>
    </w:p>
    <w:p w14:paraId="5B7CC332" w14:textId="77777777" w:rsidR="00BC7F44" w:rsidRPr="00BC7F44" w:rsidRDefault="00BC7F44" w:rsidP="00BC7F44">
      <w:pPr>
        <w:numPr>
          <w:ilvl w:val="0"/>
          <w:numId w:val="4"/>
        </w:numPr>
      </w:pPr>
      <w:r w:rsidRPr="00BC7F44">
        <w:t>Aligning fiscal year with corporate financial planning cycles.</w:t>
      </w:r>
    </w:p>
    <w:p w14:paraId="5C593CA3" w14:textId="77777777" w:rsidR="00BC7F44" w:rsidRPr="00BC7F44" w:rsidRDefault="00BC7F44" w:rsidP="00BC7F44">
      <w:pPr>
        <w:numPr>
          <w:ilvl w:val="0"/>
          <w:numId w:val="4"/>
        </w:numPr>
      </w:pPr>
      <w:r w:rsidRPr="00BC7F44">
        <w:t>Provides accurate revenue tracking and reporting for mobility solutions.</w:t>
      </w:r>
    </w:p>
    <w:p w14:paraId="6678337F" w14:textId="77777777" w:rsidR="00BC7F44" w:rsidRPr="00BC7F44" w:rsidRDefault="00BC7F44" w:rsidP="00BC7F44">
      <w:pPr>
        <w:rPr>
          <w:b/>
          <w:bCs/>
        </w:rPr>
      </w:pPr>
      <w:r w:rsidRPr="00BC7F44">
        <w:rPr>
          <w:b/>
          <w:bCs/>
        </w:rPr>
        <w:t>User Setup &amp; Licenses</w:t>
      </w:r>
    </w:p>
    <w:p w14:paraId="2C5C79C3" w14:textId="77777777" w:rsidR="00BC7F44" w:rsidRPr="00BC7F44" w:rsidRDefault="00BC7F44" w:rsidP="00BC7F44">
      <w:pPr>
        <w:numPr>
          <w:ilvl w:val="0"/>
          <w:numId w:val="5"/>
        </w:numPr>
      </w:pPr>
      <w:r w:rsidRPr="00BC7F44">
        <w:t>Assigning licenses to employees across sales, service, and R&amp;D departments.</w:t>
      </w:r>
    </w:p>
    <w:p w14:paraId="72B7F385" w14:textId="77777777" w:rsidR="00BC7F44" w:rsidRPr="00BC7F44" w:rsidRDefault="00BC7F44" w:rsidP="00BC7F44">
      <w:pPr>
        <w:numPr>
          <w:ilvl w:val="0"/>
          <w:numId w:val="5"/>
        </w:numPr>
      </w:pPr>
      <w:r w:rsidRPr="00BC7F44">
        <w:t>Enables each team to contribute effectively towards innovation and customer excellence.</w:t>
      </w:r>
    </w:p>
    <w:p w14:paraId="160632AD" w14:textId="77777777" w:rsidR="00BC7F44" w:rsidRPr="00BC7F44" w:rsidRDefault="00BC7F44" w:rsidP="00BC7F44">
      <w:pPr>
        <w:rPr>
          <w:b/>
          <w:bCs/>
        </w:rPr>
      </w:pPr>
      <w:r w:rsidRPr="00BC7F44">
        <w:rPr>
          <w:b/>
          <w:bCs/>
        </w:rPr>
        <w:t>Profiles</w:t>
      </w:r>
    </w:p>
    <w:p w14:paraId="06D2C5FB" w14:textId="77777777" w:rsidR="00BC7F44" w:rsidRPr="00BC7F44" w:rsidRDefault="00BC7F44" w:rsidP="00BC7F44">
      <w:pPr>
        <w:numPr>
          <w:ilvl w:val="0"/>
          <w:numId w:val="6"/>
        </w:numPr>
      </w:pPr>
      <w:r w:rsidRPr="00BC7F44">
        <w:t>Configuring standard and custom profiles to manage feature access.</w:t>
      </w:r>
    </w:p>
    <w:p w14:paraId="5F01EB53" w14:textId="77777777" w:rsidR="00BC7F44" w:rsidRPr="00BC7F44" w:rsidRDefault="00BC7F44" w:rsidP="00BC7F44">
      <w:pPr>
        <w:numPr>
          <w:ilvl w:val="0"/>
          <w:numId w:val="6"/>
        </w:numPr>
      </w:pPr>
      <w:r w:rsidRPr="00BC7F44">
        <w:t>Ensures proper balance of security and user productivity.</w:t>
      </w:r>
    </w:p>
    <w:p w14:paraId="67ADB162" w14:textId="77777777" w:rsidR="00BC7F44" w:rsidRPr="00BC7F44" w:rsidRDefault="00BC7F44" w:rsidP="00BC7F44">
      <w:pPr>
        <w:rPr>
          <w:b/>
          <w:bCs/>
        </w:rPr>
      </w:pPr>
      <w:r w:rsidRPr="00BC7F44">
        <w:rPr>
          <w:b/>
          <w:bCs/>
        </w:rPr>
        <w:t>Roles</w:t>
      </w:r>
    </w:p>
    <w:p w14:paraId="0D7ADB77" w14:textId="77777777" w:rsidR="00BC7F44" w:rsidRPr="00BC7F44" w:rsidRDefault="00BC7F44" w:rsidP="00BC7F44">
      <w:pPr>
        <w:numPr>
          <w:ilvl w:val="0"/>
          <w:numId w:val="7"/>
        </w:numPr>
      </w:pPr>
      <w:r w:rsidRPr="00BC7F44">
        <w:t>Hierarchical role structure reflecting organizational mobility divisions (e.g., Sales, Service, Engineering).</w:t>
      </w:r>
    </w:p>
    <w:p w14:paraId="3D42160F" w14:textId="77777777" w:rsidR="00BC7F44" w:rsidRPr="00BC7F44" w:rsidRDefault="00BC7F44" w:rsidP="00BC7F44">
      <w:pPr>
        <w:numPr>
          <w:ilvl w:val="0"/>
          <w:numId w:val="7"/>
        </w:numPr>
      </w:pPr>
      <w:r w:rsidRPr="00BC7F44">
        <w:t>Helps maintain data visibility aligned with business responsibilities.</w:t>
      </w:r>
    </w:p>
    <w:p w14:paraId="2B550F46" w14:textId="77777777" w:rsidR="00BC7F44" w:rsidRPr="00BC7F44" w:rsidRDefault="00BC7F44" w:rsidP="00BC7F44">
      <w:pPr>
        <w:rPr>
          <w:b/>
          <w:bCs/>
        </w:rPr>
      </w:pPr>
      <w:r w:rsidRPr="00BC7F44">
        <w:rPr>
          <w:b/>
          <w:bCs/>
        </w:rPr>
        <w:lastRenderedPageBreak/>
        <w:t>Permission Sets</w:t>
      </w:r>
    </w:p>
    <w:p w14:paraId="7937B164" w14:textId="77777777" w:rsidR="00BC7F44" w:rsidRPr="00BC7F44" w:rsidRDefault="00BC7F44" w:rsidP="00BC7F44">
      <w:pPr>
        <w:numPr>
          <w:ilvl w:val="0"/>
          <w:numId w:val="8"/>
        </w:numPr>
      </w:pPr>
      <w:r w:rsidRPr="00BC7F44">
        <w:t>Assigning additional permissions for specialized tasks like analytics, IoT integration, or field service.</w:t>
      </w:r>
    </w:p>
    <w:p w14:paraId="689D35AC" w14:textId="77777777" w:rsidR="00BC7F44" w:rsidRPr="00BC7F44" w:rsidRDefault="00BC7F44" w:rsidP="00BC7F44">
      <w:pPr>
        <w:numPr>
          <w:ilvl w:val="0"/>
          <w:numId w:val="8"/>
        </w:numPr>
      </w:pPr>
      <w:r w:rsidRPr="00BC7F44">
        <w:t>Facilitates innovation without compromising security.</w:t>
      </w:r>
    </w:p>
    <w:p w14:paraId="7220FA7F" w14:textId="77777777" w:rsidR="00BC7F44" w:rsidRPr="00BC7F44" w:rsidRDefault="00BC7F44" w:rsidP="00BC7F44">
      <w:pPr>
        <w:rPr>
          <w:b/>
          <w:bCs/>
        </w:rPr>
      </w:pPr>
      <w:r w:rsidRPr="00BC7F44">
        <w:rPr>
          <w:b/>
          <w:bCs/>
        </w:rPr>
        <w:t>OWD (Organization-Wide Defaults)</w:t>
      </w:r>
    </w:p>
    <w:p w14:paraId="7636D35E" w14:textId="77777777" w:rsidR="00BC7F44" w:rsidRPr="00BC7F44" w:rsidRDefault="00BC7F44" w:rsidP="00BC7F44">
      <w:pPr>
        <w:numPr>
          <w:ilvl w:val="0"/>
          <w:numId w:val="9"/>
        </w:numPr>
      </w:pPr>
      <w:r w:rsidRPr="00BC7F44">
        <w:t>Defining baseline data-sharing settings to protect sensitive customer and product data.</w:t>
      </w:r>
    </w:p>
    <w:p w14:paraId="3057B975" w14:textId="77777777" w:rsidR="00BC7F44" w:rsidRPr="00BC7F44" w:rsidRDefault="00BC7F44" w:rsidP="00BC7F44">
      <w:pPr>
        <w:numPr>
          <w:ilvl w:val="0"/>
          <w:numId w:val="9"/>
        </w:numPr>
      </w:pPr>
      <w:r w:rsidRPr="00BC7F44">
        <w:t>Enhances trust while enabling collaboration across teams.</w:t>
      </w:r>
    </w:p>
    <w:p w14:paraId="30727E2B" w14:textId="77777777" w:rsidR="00BC7F44" w:rsidRPr="00BC7F44" w:rsidRDefault="00BC7F44" w:rsidP="00BC7F44">
      <w:pPr>
        <w:rPr>
          <w:b/>
          <w:bCs/>
        </w:rPr>
      </w:pPr>
      <w:r w:rsidRPr="00BC7F44">
        <w:rPr>
          <w:b/>
          <w:bCs/>
        </w:rPr>
        <w:t>Sharing Rules</w:t>
      </w:r>
    </w:p>
    <w:p w14:paraId="335F0818" w14:textId="77777777" w:rsidR="00BC7F44" w:rsidRPr="00BC7F44" w:rsidRDefault="00BC7F44" w:rsidP="00BC7F44">
      <w:pPr>
        <w:numPr>
          <w:ilvl w:val="0"/>
          <w:numId w:val="10"/>
        </w:numPr>
      </w:pPr>
      <w:r w:rsidRPr="00BC7F44">
        <w:t>Configuring rules to allow controlled data access among departments.</w:t>
      </w:r>
    </w:p>
    <w:p w14:paraId="5FC65DB4" w14:textId="77777777" w:rsidR="00BC7F44" w:rsidRPr="00BC7F44" w:rsidRDefault="00BC7F44" w:rsidP="00BC7F44">
      <w:pPr>
        <w:numPr>
          <w:ilvl w:val="0"/>
          <w:numId w:val="10"/>
        </w:numPr>
      </w:pPr>
      <w:r w:rsidRPr="00BC7F44">
        <w:t>Promotes collaborative innovation in mobility solutions.</w:t>
      </w:r>
    </w:p>
    <w:p w14:paraId="5805AC30" w14:textId="77777777" w:rsidR="00BC7F44" w:rsidRPr="00BC7F44" w:rsidRDefault="00BC7F44" w:rsidP="00BC7F44">
      <w:pPr>
        <w:rPr>
          <w:b/>
          <w:bCs/>
        </w:rPr>
      </w:pPr>
      <w:r w:rsidRPr="00BC7F44">
        <w:rPr>
          <w:b/>
          <w:bCs/>
        </w:rPr>
        <w:t>Login Access Policies</w:t>
      </w:r>
    </w:p>
    <w:p w14:paraId="6CAB998E" w14:textId="77777777" w:rsidR="00BC7F44" w:rsidRPr="00BC7F44" w:rsidRDefault="00BC7F44" w:rsidP="00BC7F44">
      <w:pPr>
        <w:numPr>
          <w:ilvl w:val="0"/>
          <w:numId w:val="11"/>
        </w:numPr>
      </w:pPr>
      <w:r w:rsidRPr="00BC7F44">
        <w:t>Implementing security standards like trusted IP ranges and multi-factor authentication.</w:t>
      </w:r>
    </w:p>
    <w:p w14:paraId="0E2EE0EA" w14:textId="77777777" w:rsidR="00BC7F44" w:rsidRPr="00BC7F44" w:rsidRDefault="00BC7F44" w:rsidP="00BC7F44">
      <w:pPr>
        <w:numPr>
          <w:ilvl w:val="0"/>
          <w:numId w:val="11"/>
        </w:numPr>
      </w:pPr>
      <w:r w:rsidRPr="00BC7F44">
        <w:t>Protects intellectual property and customer trust.</w:t>
      </w:r>
    </w:p>
    <w:p w14:paraId="37771C18" w14:textId="77777777" w:rsidR="00BC7F44" w:rsidRPr="00BC7F44" w:rsidRDefault="00BC7F44" w:rsidP="00BC7F44">
      <w:pPr>
        <w:rPr>
          <w:b/>
          <w:bCs/>
        </w:rPr>
      </w:pPr>
      <w:r w:rsidRPr="00BC7F44">
        <w:rPr>
          <w:b/>
          <w:bCs/>
        </w:rPr>
        <w:t>Dev Org Setup</w:t>
      </w:r>
    </w:p>
    <w:p w14:paraId="6F7D8933" w14:textId="77777777" w:rsidR="00BC7F44" w:rsidRPr="00BC7F44" w:rsidRDefault="00BC7F44" w:rsidP="00BC7F44">
      <w:pPr>
        <w:numPr>
          <w:ilvl w:val="0"/>
          <w:numId w:val="12"/>
        </w:numPr>
      </w:pPr>
      <w:r w:rsidRPr="00BC7F44">
        <w:t>Setting up development environments for testing new mobility solutions and features.</w:t>
      </w:r>
    </w:p>
    <w:p w14:paraId="3E056A7B" w14:textId="77777777" w:rsidR="00BC7F44" w:rsidRPr="00BC7F44" w:rsidRDefault="00BC7F44" w:rsidP="00BC7F44">
      <w:pPr>
        <w:numPr>
          <w:ilvl w:val="0"/>
          <w:numId w:val="12"/>
        </w:numPr>
      </w:pPr>
      <w:r w:rsidRPr="00BC7F44">
        <w:t>Encourages continuous innovation before production deployment.</w:t>
      </w:r>
    </w:p>
    <w:p w14:paraId="70D2BB62" w14:textId="77777777" w:rsidR="00BC7F44" w:rsidRPr="00BC7F44" w:rsidRDefault="00BC7F44" w:rsidP="00BC7F44">
      <w:pPr>
        <w:rPr>
          <w:b/>
          <w:bCs/>
        </w:rPr>
      </w:pPr>
      <w:r w:rsidRPr="00BC7F44">
        <w:rPr>
          <w:b/>
          <w:bCs/>
        </w:rPr>
        <w:t>Sandbox Usage</w:t>
      </w:r>
    </w:p>
    <w:p w14:paraId="5F6BA279" w14:textId="77777777" w:rsidR="00BC7F44" w:rsidRPr="00BC7F44" w:rsidRDefault="00BC7F44" w:rsidP="00BC7F44">
      <w:pPr>
        <w:numPr>
          <w:ilvl w:val="0"/>
          <w:numId w:val="13"/>
        </w:numPr>
      </w:pPr>
      <w:r w:rsidRPr="00BC7F44">
        <w:t>Utilizing sandboxes for development, testing, and training purposes.</w:t>
      </w:r>
    </w:p>
    <w:p w14:paraId="3F44F02C" w14:textId="77777777" w:rsidR="00BC7F44" w:rsidRPr="00BC7F44" w:rsidRDefault="00BC7F44" w:rsidP="00BC7F44">
      <w:pPr>
        <w:numPr>
          <w:ilvl w:val="0"/>
          <w:numId w:val="13"/>
        </w:numPr>
      </w:pPr>
      <w:r w:rsidRPr="00BC7F44">
        <w:t>Ensures error-free rollouts of mobility service enhancements.</w:t>
      </w:r>
    </w:p>
    <w:p w14:paraId="52BE9742" w14:textId="77777777" w:rsidR="00BC7F44" w:rsidRPr="00BC7F44" w:rsidRDefault="00BC7F44" w:rsidP="00BC7F44">
      <w:pPr>
        <w:rPr>
          <w:b/>
          <w:bCs/>
        </w:rPr>
      </w:pPr>
      <w:r w:rsidRPr="00BC7F44">
        <w:rPr>
          <w:b/>
          <w:bCs/>
        </w:rPr>
        <w:t>Deployment Basics</w:t>
      </w:r>
    </w:p>
    <w:p w14:paraId="74BD9F8E" w14:textId="77777777" w:rsidR="00BC7F44" w:rsidRPr="00BC7F44" w:rsidRDefault="00BC7F44" w:rsidP="00BC7F44">
      <w:pPr>
        <w:numPr>
          <w:ilvl w:val="0"/>
          <w:numId w:val="14"/>
        </w:numPr>
      </w:pPr>
      <w:r w:rsidRPr="00BC7F44">
        <w:t>Establishing deployment pipelines for seamless migration of changes from sandbox to production.</w:t>
      </w:r>
    </w:p>
    <w:p w14:paraId="299F0FF6" w14:textId="77777777" w:rsidR="00BC7F44" w:rsidRPr="00BC7F44" w:rsidRDefault="00BC7F44" w:rsidP="00BC7F44">
      <w:pPr>
        <w:numPr>
          <w:ilvl w:val="0"/>
          <w:numId w:val="14"/>
        </w:numPr>
      </w:pPr>
      <w:r w:rsidRPr="00BC7F44">
        <w:t>Guarantees stability while driving excellence in operations.</w:t>
      </w:r>
    </w:p>
    <w:p w14:paraId="56341021" w14:textId="77777777" w:rsidR="00BC7F44" w:rsidRDefault="00BC7F44"/>
    <w:sectPr w:rsidR="00BC7F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FD4E61"/>
    <w:multiLevelType w:val="multilevel"/>
    <w:tmpl w:val="5ADC1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4F1295"/>
    <w:multiLevelType w:val="multilevel"/>
    <w:tmpl w:val="0CF8D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3F758D"/>
    <w:multiLevelType w:val="multilevel"/>
    <w:tmpl w:val="C5D89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CF7F92"/>
    <w:multiLevelType w:val="multilevel"/>
    <w:tmpl w:val="C2723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631647"/>
    <w:multiLevelType w:val="multilevel"/>
    <w:tmpl w:val="BAEEC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39028B"/>
    <w:multiLevelType w:val="multilevel"/>
    <w:tmpl w:val="7A1A9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DE7656"/>
    <w:multiLevelType w:val="multilevel"/>
    <w:tmpl w:val="04E87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71488C"/>
    <w:multiLevelType w:val="multilevel"/>
    <w:tmpl w:val="C8B45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E323DE"/>
    <w:multiLevelType w:val="multilevel"/>
    <w:tmpl w:val="74684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EF2560"/>
    <w:multiLevelType w:val="multilevel"/>
    <w:tmpl w:val="33C44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D63CF3"/>
    <w:multiLevelType w:val="multilevel"/>
    <w:tmpl w:val="0CD6F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1B34B8"/>
    <w:multiLevelType w:val="multilevel"/>
    <w:tmpl w:val="7A8EF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C3868A5"/>
    <w:multiLevelType w:val="multilevel"/>
    <w:tmpl w:val="A3081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BA945DC"/>
    <w:multiLevelType w:val="multilevel"/>
    <w:tmpl w:val="83085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4358855">
    <w:abstractNumId w:val="6"/>
  </w:num>
  <w:num w:numId="2" w16cid:durableId="733892138">
    <w:abstractNumId w:val="2"/>
  </w:num>
  <w:num w:numId="3" w16cid:durableId="404954225">
    <w:abstractNumId w:val="12"/>
  </w:num>
  <w:num w:numId="4" w16cid:durableId="146824709">
    <w:abstractNumId w:val="11"/>
  </w:num>
  <w:num w:numId="5" w16cid:durableId="696590100">
    <w:abstractNumId w:val="7"/>
  </w:num>
  <w:num w:numId="6" w16cid:durableId="1564682724">
    <w:abstractNumId w:val="1"/>
  </w:num>
  <w:num w:numId="7" w16cid:durableId="1863589206">
    <w:abstractNumId w:val="9"/>
  </w:num>
  <w:num w:numId="8" w16cid:durableId="1675524268">
    <w:abstractNumId w:val="4"/>
  </w:num>
  <w:num w:numId="9" w16cid:durableId="757478479">
    <w:abstractNumId w:val="8"/>
  </w:num>
  <w:num w:numId="10" w16cid:durableId="1163855075">
    <w:abstractNumId w:val="0"/>
  </w:num>
  <w:num w:numId="11" w16cid:durableId="1394890958">
    <w:abstractNumId w:val="5"/>
  </w:num>
  <w:num w:numId="12" w16cid:durableId="1107772883">
    <w:abstractNumId w:val="3"/>
  </w:num>
  <w:num w:numId="13" w16cid:durableId="310330233">
    <w:abstractNumId w:val="13"/>
  </w:num>
  <w:num w:numId="14" w16cid:durableId="5493436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F44"/>
    <w:rsid w:val="005B21CC"/>
    <w:rsid w:val="00BB2884"/>
    <w:rsid w:val="00BC7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4DA66"/>
  <w15:chartTrackingRefBased/>
  <w15:docId w15:val="{1CDEB492-0BB3-4EB7-9A32-59BDF7FDF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e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7F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7F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7F4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7F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7F4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7F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7F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7F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7F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7F4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7F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7F4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7F4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7F4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7F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7F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7F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7F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7F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7F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7F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7F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7F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7F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7F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7F4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7F4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7F4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7F4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400</Words>
  <Characters>2283</Characters>
  <Application>Microsoft Office Word</Application>
  <DocSecurity>0</DocSecurity>
  <Lines>19</Lines>
  <Paragraphs>5</Paragraphs>
  <ScaleCrop>false</ScaleCrop>
  <Company/>
  <LinksUpToDate>false</LinksUpToDate>
  <CharactersWithSpaces>2678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 bandi</dc:creator>
  <cp:keywords/>
  <dc:description/>
  <cp:lastModifiedBy>Hemanth bandi</cp:lastModifiedBy>
  <cp:revision>1</cp:revision>
  <cp:lastPrinted>2025-09-24T12:50:00Z</cp:lastPrinted>
  <dcterms:created xsi:type="dcterms:W3CDTF">2025-09-24T12:48:00Z</dcterms:created>
  <dcterms:modified xsi:type="dcterms:W3CDTF">2025-09-24T12:50:00Z</dcterms:modified>
</cp:coreProperties>
</file>