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BDE0" w14:textId="77777777" w:rsidR="000D38C4" w:rsidRPr="000D38C4" w:rsidRDefault="000D38C4" w:rsidP="000D38C4">
      <w:pPr>
        <w:spacing w:after="40"/>
        <w:rPr>
          <w:sz w:val="40"/>
          <w:szCs w:val="40"/>
        </w:rPr>
      </w:pPr>
      <w:r w:rsidRPr="000D38C4">
        <w:rPr>
          <w:b/>
          <w:bCs/>
          <w:sz w:val="40"/>
          <w:szCs w:val="40"/>
        </w:rPr>
        <w:t>Sales Forecasting &amp; Demand Intelligence</w:t>
      </w:r>
    </w:p>
    <w:p w14:paraId="3F9F638C" w14:textId="233196B0" w:rsidR="000D38C4" w:rsidRPr="000D38C4" w:rsidRDefault="000D38C4" w:rsidP="000D38C4">
      <w:pPr>
        <w:spacing w:after="120"/>
      </w:pPr>
      <w:r w:rsidRPr="000D38C4">
        <w:rPr>
          <w:color w:val="555555"/>
          <w:sz w:val="26"/>
          <w:szCs w:val="26"/>
        </w:rPr>
        <w:t>Executive Business Report</w:t>
      </w:r>
      <w:r>
        <w:rPr>
          <w:b/>
          <w:bCs/>
          <w:sz w:val="40"/>
          <w:szCs w:val="40"/>
        </w:rPr>
        <w:pict w14:anchorId="69781A8C">
          <v:rect id="_x0000_i1025" style="width:0;height:1.5pt" o:hralign="center" o:hrstd="t" o:hr="t" fillcolor="#a0a0a0" stroked="f"/>
        </w:pict>
      </w:r>
    </w:p>
    <w:p w14:paraId="32A13202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20"/>
          <w:szCs w:val="20"/>
        </w:rPr>
        <w:br/>
      </w:r>
      <w:r w:rsidRPr="000D38C4">
        <w:rPr>
          <w:b/>
          <w:bCs/>
          <w:color w:val="000000" w:themeColor="text1"/>
          <w:sz w:val="32"/>
          <w:szCs w:val="32"/>
        </w:rPr>
        <w:t>Executive Summary</w:t>
      </w:r>
    </w:p>
    <w:p w14:paraId="293395FC" w14:textId="77777777" w:rsidR="000D38C4" w:rsidRDefault="000D38C4" w:rsidP="000D38C4">
      <w:pPr>
        <w:pStyle w:val="Heading1"/>
        <w:spacing w:before="140" w:after="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0D38C4">
        <w:rPr>
          <w:rFonts w:ascii="Times New Roman" w:eastAsia="Times New Roman" w:hAnsi="Times New Roman" w:cs="Times New Roman"/>
          <w:color w:val="auto"/>
          <w:sz w:val="20"/>
          <w:szCs w:val="20"/>
        </w:rPr>
        <w:t>The company has been steadily increasing sales from approximately ₹480,000 per year to ₹722,000 per year in the last four years and the category of Technology has been the highest revenue category for the company, with a regular increase every September to December. Our forecasts suggest continued growth in the coming months, with Technology and the West region leading the way. We came up with a few weeks that were sales-y but not quite normal, and divided our products into three sales patterns for stocking. Before we get into it, there is one note of caution: our more detailed forecasts (by region, or by category) are not as specific as our company-wide forecast and should not be interpreted as that.</w:t>
      </w:r>
    </w:p>
    <w:p w14:paraId="70EB34A9" w14:textId="06BD5A08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Key Findings — EDA and Forecasting</w:t>
      </w:r>
    </w:p>
    <w:p w14:paraId="0A50186E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Technology is the highest-revenue category (₹827,456), narrowly ahead of Furniture (₹728,659) and Office Supplies (₹705,422) — no single category dominates the business.</w:t>
      </w:r>
    </w:p>
    <w:p w14:paraId="3DC5F021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East is the most dependable region for growth, rising every single year with no dip. West grows fastest on average but far less predictably, with sharper swings year to year.</w:t>
      </w:r>
    </w:p>
    <w:p w14:paraId="6D99F65B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Order-to-ship time is essentially the same everywhere (about 4 days), so shipping speed is not a regional differentiator.</w:t>
      </w:r>
    </w:p>
    <w:p w14:paraId="468CEF21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September, November, and December are consistently the three strongest months of the year, every year — the specific peak month shifts (Sept in 2015, Nov in 2016/2018, Dec in 2017), but the autumn-through-year-end window is reliably the busiest.</w:t>
      </w:r>
    </w:p>
    <w:p w14:paraId="27BE9863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Across three different forecasting approaches tested (a classical statistical model, an industry-standard forecasting tool, and a machine-learning model), the industry-standard tool produced the most accurate company-wide forecast and is recommended for production use.</w:t>
      </w:r>
    </w:p>
    <w:p w14:paraId="55E8C7CF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3-Month Sales Forecast</w:t>
      </w:r>
    </w:p>
    <w:p w14:paraId="5E4632BA" w14:textId="77777777" w:rsidR="000D38C4" w:rsidRDefault="000D38C4" w:rsidP="000D38C4">
      <w:pPr>
        <w:spacing w:after="80"/>
      </w:pPr>
      <w:r>
        <w:t>Using our recommended model, projected company-wide sales for the next three months are: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600"/>
      </w:tblGrid>
      <w:tr w:rsidR="000D38C4" w14:paraId="09A83DAB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</w:tcPr>
          <w:p w14:paraId="4615044E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Month</w:t>
            </w:r>
          </w:p>
        </w:tc>
        <w:tc>
          <w:tcPr>
            <w:tcW w:w="3200" w:type="dxa"/>
            <w:shd w:val="clear" w:color="auto" w:fill="D9D9D9"/>
          </w:tcPr>
          <w:p w14:paraId="2F52EC0B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Forecast</w:t>
            </w:r>
          </w:p>
        </w:tc>
        <w:tc>
          <w:tcPr>
            <w:tcW w:w="3600" w:type="dxa"/>
            <w:shd w:val="clear" w:color="auto" w:fill="D9D9D9"/>
          </w:tcPr>
          <w:p w14:paraId="1B363552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Approximate Range*</w:t>
            </w:r>
          </w:p>
        </w:tc>
      </w:tr>
      <w:tr w:rsidR="000D38C4" w14:paraId="4935C543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652896A" w14:textId="77777777" w:rsidR="000D38C4" w:rsidRDefault="000D38C4" w:rsidP="007E514E">
            <w:r>
              <w:rPr>
                <w:sz w:val="18"/>
                <w:szCs w:val="18"/>
              </w:rPr>
              <w:t>Month 1</w:t>
            </w:r>
          </w:p>
        </w:tc>
        <w:tc>
          <w:tcPr>
            <w:tcW w:w="3200" w:type="dxa"/>
          </w:tcPr>
          <w:p w14:paraId="776E5523" w14:textId="77777777" w:rsidR="000D38C4" w:rsidRDefault="000D38C4" w:rsidP="007E514E">
            <w:r>
              <w:rPr>
                <w:sz w:val="18"/>
                <w:szCs w:val="18"/>
              </w:rPr>
              <w:t>₹52,615</w:t>
            </w:r>
          </w:p>
        </w:tc>
        <w:tc>
          <w:tcPr>
            <w:tcW w:w="3600" w:type="dxa"/>
          </w:tcPr>
          <w:p w14:paraId="5EC5114E" w14:textId="77777777" w:rsidR="000D38C4" w:rsidRDefault="000D38C4" w:rsidP="007E514E">
            <w:r>
              <w:rPr>
                <w:sz w:val="18"/>
                <w:szCs w:val="18"/>
              </w:rPr>
              <w:t>₹34,056 – ₹71,174</w:t>
            </w:r>
          </w:p>
        </w:tc>
      </w:tr>
      <w:tr w:rsidR="000D38C4" w14:paraId="14201ED0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EDD72B5" w14:textId="77777777" w:rsidR="000D38C4" w:rsidRDefault="000D38C4" w:rsidP="007E514E">
            <w:r>
              <w:rPr>
                <w:sz w:val="18"/>
                <w:szCs w:val="18"/>
              </w:rPr>
              <w:t>Month 2</w:t>
            </w:r>
          </w:p>
        </w:tc>
        <w:tc>
          <w:tcPr>
            <w:tcW w:w="3200" w:type="dxa"/>
          </w:tcPr>
          <w:p w14:paraId="00865BA8" w14:textId="77777777" w:rsidR="000D38C4" w:rsidRDefault="000D38C4" w:rsidP="007E514E">
            <w:r>
              <w:rPr>
                <w:sz w:val="18"/>
                <w:szCs w:val="18"/>
              </w:rPr>
              <w:t>₹38,973</w:t>
            </w:r>
          </w:p>
        </w:tc>
        <w:tc>
          <w:tcPr>
            <w:tcW w:w="3600" w:type="dxa"/>
          </w:tcPr>
          <w:p w14:paraId="3D76DD9A" w14:textId="77777777" w:rsidR="000D38C4" w:rsidRDefault="000D38C4" w:rsidP="007E514E">
            <w:r>
              <w:rPr>
                <w:sz w:val="18"/>
                <w:szCs w:val="18"/>
              </w:rPr>
              <w:t>₹20,414 – ₹57,532</w:t>
            </w:r>
          </w:p>
        </w:tc>
      </w:tr>
      <w:tr w:rsidR="000D38C4" w14:paraId="49DAA0BD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F4AC38B" w14:textId="77777777" w:rsidR="000D38C4" w:rsidRDefault="000D38C4" w:rsidP="007E514E">
            <w:r>
              <w:rPr>
                <w:sz w:val="18"/>
                <w:szCs w:val="18"/>
              </w:rPr>
              <w:t>Month 3</w:t>
            </w:r>
          </w:p>
        </w:tc>
        <w:tc>
          <w:tcPr>
            <w:tcW w:w="3200" w:type="dxa"/>
          </w:tcPr>
          <w:p w14:paraId="623C64E4" w14:textId="77777777" w:rsidR="000D38C4" w:rsidRDefault="000D38C4" w:rsidP="007E514E">
            <w:r>
              <w:rPr>
                <w:sz w:val="18"/>
                <w:szCs w:val="18"/>
              </w:rPr>
              <w:t>₹78,075</w:t>
            </w:r>
          </w:p>
        </w:tc>
        <w:tc>
          <w:tcPr>
            <w:tcW w:w="3600" w:type="dxa"/>
          </w:tcPr>
          <w:p w14:paraId="41F75DEA" w14:textId="77777777" w:rsidR="000D38C4" w:rsidRDefault="000D38C4" w:rsidP="007E514E">
            <w:r>
              <w:rPr>
                <w:sz w:val="18"/>
                <w:szCs w:val="18"/>
              </w:rPr>
              <w:t>₹59,516 – ₹96,634</w:t>
            </w:r>
          </w:p>
        </w:tc>
      </w:tr>
    </w:tbl>
    <w:p w14:paraId="63555E7B" w14:textId="77777777" w:rsidR="000D38C4" w:rsidRDefault="000D38C4" w:rsidP="000D38C4">
      <w:pPr>
        <w:spacing w:after="120"/>
      </w:pPr>
    </w:p>
    <w:p w14:paraId="5D167D22" w14:textId="4DC84EB3" w:rsidR="000D38C4" w:rsidRDefault="000D38C4" w:rsidP="000D38C4">
      <w:pPr>
        <w:spacing w:after="80"/>
      </w:pPr>
      <w:r>
        <w:rPr>
          <w:i/>
          <w:iCs/>
        </w:rPr>
        <w:t>*</w:t>
      </w:r>
      <w:r w:rsidRPr="000D38C4">
        <w:t xml:space="preserve"> </w:t>
      </w:r>
      <w:r w:rsidRPr="000D38C4">
        <w:rPr>
          <w:i/>
          <w:iCs/>
        </w:rPr>
        <w:t>This range is constructed from the model's usual historical error and is not a formal statistical confidence interval; it is meant to be interpreted as: "The forecast could reasonably fall within this range, but not as: "The probability of the forecast falling within this range is 95%". In simple terms, our forecast error is roughly 40-45% of the average month's sales, and indeed this is a constraint due to the fact that we are forecasting based on less than 4 years of monthly history. Use these three numbers as a good approximation, but not a promise.</w:t>
      </w:r>
    </w:p>
    <w:p w14:paraId="42CB6322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Model Performance Comparison</w:t>
      </w:r>
    </w:p>
    <w:p w14:paraId="0FA6EAC4" w14:textId="77777777" w:rsidR="000D38C4" w:rsidRDefault="000D38C4" w:rsidP="000D38C4">
      <w:pPr>
        <w:spacing w:after="80"/>
      </w:pPr>
      <w:r>
        <w:t>We tested three different forecasting approaches and measured how far off each one's predictions were from actual past sales. Lower error means a more trustworthy forecast.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800"/>
      </w:tblGrid>
      <w:tr w:rsidR="000D38C4" w14:paraId="4ED35067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D9D9"/>
          </w:tcPr>
          <w:p w14:paraId="11892BC3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400" w:type="dxa"/>
            <w:shd w:val="clear" w:color="auto" w:fill="D9D9D9"/>
          </w:tcPr>
          <w:p w14:paraId="5660810D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Typical Error (₹)</w:t>
            </w:r>
          </w:p>
        </w:tc>
        <w:tc>
          <w:tcPr>
            <w:tcW w:w="2400" w:type="dxa"/>
            <w:shd w:val="clear" w:color="auto" w:fill="D9D9D9"/>
          </w:tcPr>
          <w:p w14:paraId="4F43A5D1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Typical Error (%)</w:t>
            </w:r>
          </w:p>
        </w:tc>
        <w:tc>
          <w:tcPr>
            <w:tcW w:w="2800" w:type="dxa"/>
            <w:shd w:val="clear" w:color="auto" w:fill="D9D9D9"/>
          </w:tcPr>
          <w:p w14:paraId="713D1173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0D38C4" w14:paraId="7161976E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C0615A" w14:textId="77777777" w:rsidR="000D38C4" w:rsidRDefault="000D38C4" w:rsidP="007E514E">
            <w:r>
              <w:rPr>
                <w:sz w:val="18"/>
                <w:szCs w:val="18"/>
              </w:rPr>
              <w:t>Prophet</w:t>
            </w:r>
          </w:p>
        </w:tc>
        <w:tc>
          <w:tcPr>
            <w:tcW w:w="2400" w:type="dxa"/>
          </w:tcPr>
          <w:p w14:paraId="3E637CAE" w14:textId="77777777" w:rsidR="000D38C4" w:rsidRDefault="000D38C4" w:rsidP="007E514E">
            <w:r>
              <w:rPr>
                <w:sz w:val="18"/>
                <w:szCs w:val="18"/>
              </w:rPr>
              <w:t>18,559</w:t>
            </w:r>
          </w:p>
        </w:tc>
        <w:tc>
          <w:tcPr>
            <w:tcW w:w="2400" w:type="dxa"/>
          </w:tcPr>
          <w:p w14:paraId="09B307E4" w14:textId="77777777" w:rsidR="000D38C4" w:rsidRDefault="000D38C4" w:rsidP="007E514E">
            <w:r>
              <w:rPr>
                <w:sz w:val="18"/>
                <w:szCs w:val="18"/>
              </w:rPr>
              <w:t>19.6%</w:t>
            </w:r>
          </w:p>
        </w:tc>
        <w:tc>
          <w:tcPr>
            <w:tcW w:w="2800" w:type="dxa"/>
          </w:tcPr>
          <w:p w14:paraId="34425FCA" w14:textId="77777777" w:rsidR="000D38C4" w:rsidRDefault="000D38C4" w:rsidP="007E514E">
            <w:r>
              <w:rPr>
                <w:sz w:val="18"/>
                <w:szCs w:val="18"/>
              </w:rPr>
              <w:t>Lowest error overall — recommended for production use</w:t>
            </w:r>
          </w:p>
        </w:tc>
      </w:tr>
      <w:tr w:rsidR="000D38C4" w14:paraId="10B1FDA8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FB4900" w14:textId="77777777" w:rsidR="000D38C4" w:rsidRDefault="000D38C4" w:rsidP="007E514E">
            <w:r>
              <w:rPr>
                <w:sz w:val="18"/>
                <w:szCs w:val="18"/>
              </w:rPr>
              <w:t>SARIMA</w:t>
            </w:r>
          </w:p>
        </w:tc>
        <w:tc>
          <w:tcPr>
            <w:tcW w:w="2400" w:type="dxa"/>
          </w:tcPr>
          <w:p w14:paraId="0E2C7087" w14:textId="77777777" w:rsidR="000D38C4" w:rsidRDefault="000D38C4" w:rsidP="007E514E">
            <w:r>
              <w:rPr>
                <w:sz w:val="18"/>
                <w:szCs w:val="18"/>
              </w:rPr>
              <w:t>19,950</w:t>
            </w:r>
          </w:p>
        </w:tc>
        <w:tc>
          <w:tcPr>
            <w:tcW w:w="2400" w:type="dxa"/>
          </w:tcPr>
          <w:p w14:paraId="59E59141" w14:textId="77777777" w:rsidR="000D38C4" w:rsidRDefault="000D38C4" w:rsidP="007E514E">
            <w:r>
              <w:rPr>
                <w:sz w:val="18"/>
                <w:szCs w:val="18"/>
              </w:rPr>
              <w:t>20.5%</w:t>
            </w:r>
          </w:p>
        </w:tc>
        <w:tc>
          <w:tcPr>
            <w:tcW w:w="2800" w:type="dxa"/>
          </w:tcPr>
          <w:p w14:paraId="57025CE1" w14:textId="77777777" w:rsidR="000D38C4" w:rsidRDefault="000D38C4" w:rsidP="007E514E">
            <w:r>
              <w:rPr>
                <w:sz w:val="18"/>
                <w:szCs w:val="18"/>
              </w:rPr>
              <w:t>Classical statistical approach; slightly less accurate than Prophet</w:t>
            </w:r>
          </w:p>
        </w:tc>
      </w:tr>
      <w:tr w:rsidR="000D38C4" w14:paraId="3F5AA9ED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5CC850" w14:textId="77777777" w:rsidR="000D38C4" w:rsidRDefault="000D38C4" w:rsidP="007E514E">
            <w:r>
              <w:rPr>
                <w:sz w:val="18"/>
                <w:szCs w:val="18"/>
              </w:rPr>
              <w:t>XGBoost</w:t>
            </w:r>
          </w:p>
        </w:tc>
        <w:tc>
          <w:tcPr>
            <w:tcW w:w="2400" w:type="dxa"/>
          </w:tcPr>
          <w:p w14:paraId="5D7D53F7" w14:textId="77777777" w:rsidR="000D38C4" w:rsidRDefault="000D38C4" w:rsidP="007E514E">
            <w:r>
              <w:rPr>
                <w:sz w:val="18"/>
                <w:szCs w:val="18"/>
              </w:rPr>
              <w:t>20,720</w:t>
            </w:r>
          </w:p>
        </w:tc>
        <w:tc>
          <w:tcPr>
            <w:tcW w:w="2400" w:type="dxa"/>
          </w:tcPr>
          <w:p w14:paraId="2C0B1FB2" w14:textId="77777777" w:rsidR="000D38C4" w:rsidRDefault="000D38C4" w:rsidP="007E514E">
            <w:r>
              <w:rPr>
                <w:sz w:val="18"/>
                <w:szCs w:val="18"/>
              </w:rPr>
              <w:t>18.5%</w:t>
            </w:r>
          </w:p>
        </w:tc>
        <w:tc>
          <w:tcPr>
            <w:tcW w:w="2800" w:type="dxa"/>
          </w:tcPr>
          <w:p w14:paraId="41CBB7E5" w14:textId="77777777" w:rsidR="000D38C4" w:rsidRDefault="000D38C4" w:rsidP="007E514E">
            <w:r>
              <w:rPr>
                <w:sz w:val="18"/>
                <w:szCs w:val="18"/>
              </w:rPr>
              <w:t>Best on percentage error, but less accurate on large-value months</w:t>
            </w:r>
          </w:p>
        </w:tc>
      </w:tr>
    </w:tbl>
    <w:p w14:paraId="1435CBDB" w14:textId="77777777" w:rsidR="000D38C4" w:rsidRDefault="000D38C4" w:rsidP="000D38C4">
      <w:pPr>
        <w:spacing w:after="80"/>
      </w:pPr>
    </w:p>
    <w:p w14:paraId="6EDA5378" w14:textId="4DEB5D7E" w:rsidR="000D38C4" w:rsidRDefault="000D38C4" w:rsidP="000D38C4">
      <w:pPr>
        <w:spacing w:after="80"/>
      </w:pPr>
      <w:r>
        <w:rPr>
          <w:b/>
          <w:bCs/>
        </w:rPr>
        <w:t xml:space="preserve">Recommendation: </w:t>
      </w:r>
      <w:r w:rsidRPr="000D38C4">
        <w:rPr>
          <w:b/>
          <w:bCs/>
        </w:rPr>
        <w:t>Use Prophet for production forecasts. It gave the lowest average dollar-value error of the three models, and it independently demonstrated the significant seasonal pattern that was mentioned earlier — September – December — suggesting that it is capturing the actual sales cycle, rather than just fitting a historical noise.</w:t>
      </w:r>
    </w:p>
    <w:p w14:paraId="48C1044D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lastRenderedPageBreak/>
        <w:t>Top 3 Anomalies Detected</w:t>
      </w:r>
    </w:p>
    <w:p w14:paraId="2FCED26B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March 22, 2015 — ₹37,704 in a single week, the largest anomaly in four years of data. No holiday or seasonal event explains it; most likely a single large bulk or enterprise order. Recommend a transaction-level review to confirm.</w:t>
      </w:r>
    </w:p>
    <w:p w14:paraId="2C6B218C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December 2, 2018 — ₹35,999 in a single week, our second-largest anomaly, and this one has a clear explanation: it falls inside the confirmed November–December seasonal peak (November 2018 was our single highest month on record).</w:t>
      </w:r>
    </w:p>
    <w:p w14:paraId="24F2C710" w14:textId="77777777" w:rsidR="000D38C4" w:rsidRDefault="000D38C4" w:rsidP="000D38C4">
      <w:pPr>
        <w:pStyle w:val="ListParagraph"/>
        <w:numPr>
          <w:ilvl w:val="0"/>
          <w:numId w:val="1"/>
        </w:numPr>
        <w:spacing w:after="40"/>
        <w:contextualSpacing w:val="0"/>
      </w:pPr>
      <w:r>
        <w:t>September 13, 2015 — ₹29,959 in a single week, our third-largest anomaly, again with no seasonal explanation. Combined with the March 2015 spike, this suggests at least some anomalies are one-off large orders rather than a recurring pattern, and are worth investigating individually rather than assuming they'll repeat.</w:t>
      </w:r>
    </w:p>
    <w:p w14:paraId="10CB6411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Product Demand Segments and Stocking Strategy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4200"/>
      </w:tblGrid>
      <w:tr w:rsidR="000D38C4" w14:paraId="36186F01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CA9CF1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3200" w:type="dxa"/>
            <w:shd w:val="clear" w:color="auto" w:fill="D9D9D9"/>
          </w:tcPr>
          <w:p w14:paraId="28F3AF4E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Members</w:t>
            </w:r>
          </w:p>
        </w:tc>
        <w:tc>
          <w:tcPr>
            <w:tcW w:w="4200" w:type="dxa"/>
            <w:shd w:val="clear" w:color="auto" w:fill="D9D9D9"/>
          </w:tcPr>
          <w:p w14:paraId="27991070" w14:textId="77777777" w:rsidR="000D38C4" w:rsidRDefault="000D38C4" w:rsidP="007E514E">
            <w:r>
              <w:rPr>
                <w:b/>
                <w:bCs/>
                <w:sz w:val="18"/>
                <w:szCs w:val="18"/>
              </w:rPr>
              <w:t>Stocking Strategy</w:t>
            </w:r>
          </w:p>
        </w:tc>
      </w:tr>
      <w:tr w:rsidR="000D38C4" w14:paraId="25369592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2675CCB" w14:textId="77777777" w:rsidR="000D38C4" w:rsidRDefault="000D38C4" w:rsidP="007E514E">
            <w:r>
              <w:rPr>
                <w:sz w:val="18"/>
                <w:szCs w:val="18"/>
              </w:rPr>
              <w:t>Stable Core Demand</w:t>
            </w:r>
          </w:p>
        </w:tc>
        <w:tc>
          <w:tcPr>
            <w:tcW w:w="3200" w:type="dxa"/>
          </w:tcPr>
          <w:p w14:paraId="325FB303" w14:textId="77777777" w:rsidR="000D38C4" w:rsidRDefault="000D38C4" w:rsidP="007E514E">
            <w:r>
              <w:rPr>
                <w:sz w:val="18"/>
                <w:szCs w:val="18"/>
              </w:rPr>
              <w:t>11 sub-categories (e.g. Paper, Furnishings, Accessories, Envelopes)</w:t>
            </w:r>
          </w:p>
        </w:tc>
        <w:tc>
          <w:tcPr>
            <w:tcW w:w="4200" w:type="dxa"/>
          </w:tcPr>
          <w:p w14:paraId="1C6336B6" w14:textId="77777777" w:rsidR="000D38C4" w:rsidRDefault="000D38C4" w:rsidP="007E514E">
            <w:r>
              <w:rPr>
                <w:sz w:val="18"/>
                <w:szCs w:val="18"/>
              </w:rPr>
              <w:t>Standard reorder-point inventory. No special buffer needed — demand is steady and predictable.</w:t>
            </w:r>
          </w:p>
        </w:tc>
      </w:tr>
      <w:tr w:rsidR="000D38C4" w14:paraId="44ED82D4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14D762" w14:textId="77777777" w:rsidR="000D38C4" w:rsidRDefault="000D38C4" w:rsidP="007E514E">
            <w:r>
              <w:rPr>
                <w:sz w:val="18"/>
                <w:szCs w:val="18"/>
              </w:rPr>
              <w:t>Niche High-Value, High-Growth</w:t>
            </w:r>
          </w:p>
        </w:tc>
        <w:tc>
          <w:tcPr>
            <w:tcW w:w="3200" w:type="dxa"/>
          </w:tcPr>
          <w:p w14:paraId="4C97A02B" w14:textId="77777777" w:rsidR="000D38C4" w:rsidRDefault="000D38C4" w:rsidP="007E514E">
            <w:r>
              <w:rPr>
                <w:sz w:val="18"/>
                <w:szCs w:val="18"/>
              </w:rPr>
              <w:t>Copiers only</w:t>
            </w:r>
          </w:p>
        </w:tc>
        <w:tc>
          <w:tcPr>
            <w:tcW w:w="4200" w:type="dxa"/>
          </w:tcPr>
          <w:p w14:paraId="6FE87C17" w14:textId="77777777" w:rsidR="000D38C4" w:rsidRDefault="000D38C4" w:rsidP="007E514E">
            <w:r>
              <w:rPr>
                <w:sz w:val="18"/>
                <w:szCs w:val="18"/>
              </w:rPr>
              <w:t>Low unit volume, very high revenue per unit and the fastest-growing item we carry. Prioritize availability over bulk stock; consider pre-order or made-to-order arrangements given the high cost per unit.</w:t>
            </w:r>
          </w:p>
        </w:tc>
      </w:tr>
      <w:tr w:rsidR="000D38C4" w14:paraId="6F541E79" w14:textId="77777777" w:rsidTr="007E514E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6C0DE3F" w14:textId="77777777" w:rsidR="000D38C4" w:rsidRDefault="000D38C4" w:rsidP="007E514E">
            <w:r>
              <w:rPr>
                <w:sz w:val="18"/>
                <w:szCs w:val="18"/>
              </w:rPr>
              <w:t>High-Value, Variable Demand</w:t>
            </w:r>
          </w:p>
        </w:tc>
        <w:tc>
          <w:tcPr>
            <w:tcW w:w="3200" w:type="dxa"/>
          </w:tcPr>
          <w:p w14:paraId="101B11EC" w14:textId="77777777" w:rsidR="000D38C4" w:rsidRDefault="000D38C4" w:rsidP="007E514E">
            <w:r>
              <w:rPr>
                <w:sz w:val="18"/>
                <w:szCs w:val="18"/>
              </w:rPr>
              <w:t>Binders, Chairs, Machines, Phones, Storage, Tables</w:t>
            </w:r>
          </w:p>
        </w:tc>
        <w:tc>
          <w:tcPr>
            <w:tcW w:w="4200" w:type="dxa"/>
          </w:tcPr>
          <w:p w14:paraId="798B47F3" w14:textId="77777777" w:rsidR="000D38C4" w:rsidRDefault="000D38C4" w:rsidP="007E514E">
            <w:r>
              <w:rPr>
                <w:sz w:val="18"/>
                <w:szCs w:val="18"/>
              </w:rPr>
              <w:t>Maintain safety stock to absorb demand swings. One member of this group, Machines, is actually declining in sales rather than growing like the rest — treat it individually with reduced reorder targets rather than applying the group's average growth assumption.</w:t>
            </w:r>
          </w:p>
        </w:tc>
      </w:tr>
    </w:tbl>
    <w:p w14:paraId="09220910" w14:textId="77777777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Business Recommendations</w:t>
      </w:r>
    </w:p>
    <w:p w14:paraId="79C25D16" w14:textId="77777777" w:rsidR="000D38C4" w:rsidRPr="000D38C4" w:rsidRDefault="000D38C4" w:rsidP="000D38C4">
      <w:pPr>
        <w:pStyle w:val="Heading2"/>
        <w:spacing w:before="100" w:after="40"/>
        <w:rPr>
          <w:b/>
          <w:bCs/>
          <w:color w:val="000000" w:themeColor="text1"/>
          <w:sz w:val="24"/>
          <w:szCs w:val="24"/>
        </w:rPr>
      </w:pPr>
      <w:r w:rsidRPr="000D38C4">
        <w:rPr>
          <w:b/>
          <w:bCs/>
          <w:color w:val="000000" w:themeColor="text1"/>
          <w:sz w:val="24"/>
          <w:szCs w:val="24"/>
        </w:rPr>
        <w:t>1. Prioritize Technology and West region for stock build-up</w:t>
      </w:r>
    </w:p>
    <w:p w14:paraId="2BF632AB" w14:textId="77777777" w:rsidR="000D38C4" w:rsidRDefault="000D38C4" w:rsidP="000D38C4">
      <w:pPr>
        <w:pStyle w:val="Heading2"/>
        <w:spacing w:before="100" w:after="4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0D38C4">
        <w:rPr>
          <w:rFonts w:ascii="Times New Roman" w:eastAsia="Times New Roman" w:hAnsi="Times New Roman" w:cs="Times New Roman"/>
          <w:color w:val="auto"/>
          <w:sz w:val="20"/>
          <w:szCs w:val="20"/>
        </w:rPr>
        <w:t>Our 3-month forecast calls for Technology up +81.2% and West up +65.0% while Office Supplies are up +17.3%, Furniture up +8.0% and East up +1.5%. Focus more of the stocking budget and supplier lead time on these two things first.</w:t>
      </w:r>
    </w:p>
    <w:p w14:paraId="55DC98E0" w14:textId="154C5218" w:rsidR="000D38C4" w:rsidRPr="000D38C4" w:rsidRDefault="000D38C4" w:rsidP="000D38C4">
      <w:pPr>
        <w:pStyle w:val="Heading2"/>
        <w:spacing w:before="100" w:after="40"/>
        <w:rPr>
          <w:b/>
          <w:bCs/>
          <w:color w:val="000000" w:themeColor="text1"/>
          <w:sz w:val="24"/>
          <w:szCs w:val="24"/>
        </w:rPr>
      </w:pPr>
      <w:r w:rsidRPr="000D38C4">
        <w:rPr>
          <w:b/>
          <w:bCs/>
          <w:color w:val="000000" w:themeColor="text1"/>
          <w:sz w:val="24"/>
          <w:szCs w:val="24"/>
        </w:rPr>
        <w:t>2. Build in extra lead time ahead of Sept–Dec every year</w:t>
      </w:r>
    </w:p>
    <w:p w14:paraId="0AE19F8C" w14:textId="77777777" w:rsidR="000D38C4" w:rsidRDefault="000D38C4" w:rsidP="000D38C4">
      <w:pPr>
        <w:spacing w:after="80"/>
      </w:pPr>
      <w:r>
        <w:t>Every year in our four years of data, at least one month in the September–December window was the year's peak month, at times more than double a typical month's sales (e.g. November 2018 hit ₹117,938 versus a typical month near ₹45,000). Place orders and secure supplier capacity ahead of this window annually, rather than reacting to the spike as it happens.</w:t>
      </w:r>
    </w:p>
    <w:p w14:paraId="0CB26CFE" w14:textId="77777777" w:rsidR="000D38C4" w:rsidRPr="000D38C4" w:rsidRDefault="000D38C4" w:rsidP="000D38C4">
      <w:pPr>
        <w:pStyle w:val="Heading2"/>
        <w:spacing w:before="100" w:after="40"/>
        <w:rPr>
          <w:b/>
          <w:bCs/>
          <w:color w:val="000000" w:themeColor="text1"/>
          <w:sz w:val="24"/>
          <w:szCs w:val="24"/>
        </w:rPr>
      </w:pPr>
      <w:r w:rsidRPr="000D38C4">
        <w:rPr>
          <w:b/>
          <w:bCs/>
          <w:color w:val="000000" w:themeColor="text1"/>
          <w:sz w:val="24"/>
          <w:szCs w:val="24"/>
        </w:rPr>
        <w:t>3. Move Copiers to a pre-order or consignment stocking model</w:t>
      </w:r>
    </w:p>
    <w:p w14:paraId="4C3C4EA6" w14:textId="77777777" w:rsidR="000D38C4" w:rsidRDefault="000D38C4" w:rsidP="000D38C4">
      <w:pPr>
        <w:pStyle w:val="Heading1"/>
        <w:spacing w:before="140" w:after="6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 w:rsidRPr="000D38C4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Copiers is our highest growth area (79.6% growth rate) and highest average order value (₹2216) product line, consistently across all analyses that we conducted. A pre-order or consignment arrangement is more in keeping with the volume of sales of this product, which is low, while the </w:t>
      </w:r>
      <w:proofErr w:type="spellStart"/>
      <w:r w:rsidRPr="000D38C4">
        <w:rPr>
          <w:rFonts w:ascii="Times New Roman" w:eastAsia="Times New Roman" w:hAnsi="Times New Roman" w:cs="Times New Roman"/>
          <w:color w:val="auto"/>
          <w:sz w:val="20"/>
          <w:szCs w:val="20"/>
        </w:rPr>
        <w:t>bulkstocking</w:t>
      </w:r>
      <w:proofErr w:type="spellEnd"/>
      <w:r w:rsidRPr="000D38C4">
        <w:rPr>
          <w:rFonts w:ascii="Times New Roman" w:eastAsia="Times New Roman" w:hAnsi="Times New Roman" w:cs="Times New Roman"/>
          <w:color w:val="auto"/>
          <w:sz w:val="20"/>
          <w:szCs w:val="20"/>
        </w:rPr>
        <w:t xml:space="preserve"> of ties represents a high cost/low volume product.</w:t>
      </w:r>
    </w:p>
    <w:p w14:paraId="4CD209BD" w14:textId="5C373014" w:rsidR="000D38C4" w:rsidRPr="000D38C4" w:rsidRDefault="000D38C4" w:rsidP="000D38C4">
      <w:pPr>
        <w:pStyle w:val="Heading1"/>
        <w:spacing w:before="140" w:after="60"/>
        <w:rPr>
          <w:b/>
          <w:bCs/>
          <w:color w:val="000000" w:themeColor="text1"/>
          <w:sz w:val="32"/>
          <w:szCs w:val="32"/>
        </w:rPr>
      </w:pPr>
      <w:r w:rsidRPr="000D38C4">
        <w:rPr>
          <w:b/>
          <w:bCs/>
          <w:color w:val="000000" w:themeColor="text1"/>
          <w:sz w:val="32"/>
          <w:szCs w:val="32"/>
        </w:rPr>
        <w:t>Risk and Limitation</w:t>
      </w:r>
    </w:p>
    <w:p w14:paraId="01788E2B" w14:textId="3C5710AE" w:rsidR="002C396B" w:rsidRDefault="000D38C4" w:rsidP="000D38C4">
      <w:r w:rsidRPr="000D38C4">
        <w:t>Not all of our forecasts are equally reliable, however. The forecast error of the companywide forecast is already high, at around 40 - 45%. When you subtract out each region or category there are some which are much more likely to be wrong than others: Office Supplies and Furniture have typical errors of 6.5% and 14.7% respectively — very reasonable — while West, Technology, and East have typical errors of 31.9%, 40.5%, and 55.3% respectively. The East region forecast is especially a directional indicator, not a hard target to make firm commitments based upon. This is a direct result of the lack of less than 4 years of history which to learn from and will only get better over time as more data gets collected, but that shouldn't be ignored in the interim.</w:t>
      </w:r>
    </w:p>
    <w:sectPr w:rsidR="002C396B" w:rsidSect="000D38C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27BA9"/>
    <w:multiLevelType w:val="hybridMultilevel"/>
    <w:tmpl w:val="29BEC426"/>
    <w:lvl w:ilvl="0" w:tplc="64B61F60">
      <w:start w:val="1"/>
      <w:numFmt w:val="bullet"/>
      <w:lvlText w:val="●"/>
      <w:lvlJc w:val="left"/>
      <w:pPr>
        <w:ind w:left="720" w:hanging="360"/>
      </w:pPr>
    </w:lvl>
    <w:lvl w:ilvl="1" w:tplc="0E5E7130">
      <w:start w:val="1"/>
      <w:numFmt w:val="bullet"/>
      <w:lvlText w:val="○"/>
      <w:lvlJc w:val="left"/>
      <w:pPr>
        <w:ind w:left="1440" w:hanging="360"/>
      </w:pPr>
    </w:lvl>
    <w:lvl w:ilvl="2" w:tplc="ACB084DA">
      <w:start w:val="1"/>
      <w:numFmt w:val="bullet"/>
      <w:lvlText w:val="■"/>
      <w:lvlJc w:val="left"/>
      <w:pPr>
        <w:ind w:left="2160" w:hanging="360"/>
      </w:pPr>
    </w:lvl>
    <w:lvl w:ilvl="3" w:tplc="2F92455E">
      <w:start w:val="1"/>
      <w:numFmt w:val="bullet"/>
      <w:lvlText w:val="●"/>
      <w:lvlJc w:val="left"/>
      <w:pPr>
        <w:ind w:left="2880" w:hanging="360"/>
      </w:pPr>
    </w:lvl>
    <w:lvl w:ilvl="4" w:tplc="96BE77FC">
      <w:start w:val="1"/>
      <w:numFmt w:val="bullet"/>
      <w:lvlText w:val="○"/>
      <w:lvlJc w:val="left"/>
      <w:pPr>
        <w:ind w:left="3600" w:hanging="360"/>
      </w:pPr>
    </w:lvl>
    <w:lvl w:ilvl="5" w:tplc="6AACEAC8">
      <w:start w:val="1"/>
      <w:numFmt w:val="bullet"/>
      <w:lvlText w:val="■"/>
      <w:lvlJc w:val="left"/>
      <w:pPr>
        <w:ind w:left="4320" w:hanging="360"/>
      </w:pPr>
    </w:lvl>
    <w:lvl w:ilvl="6" w:tplc="810632AC">
      <w:start w:val="1"/>
      <w:numFmt w:val="bullet"/>
      <w:lvlText w:val="●"/>
      <w:lvlJc w:val="left"/>
      <w:pPr>
        <w:ind w:left="5040" w:hanging="360"/>
      </w:pPr>
    </w:lvl>
    <w:lvl w:ilvl="7" w:tplc="3F3428D6">
      <w:start w:val="1"/>
      <w:numFmt w:val="bullet"/>
      <w:lvlText w:val="●"/>
      <w:lvlJc w:val="left"/>
      <w:pPr>
        <w:ind w:left="5760" w:hanging="360"/>
      </w:pPr>
    </w:lvl>
    <w:lvl w:ilvl="8" w:tplc="228840AE">
      <w:start w:val="1"/>
      <w:numFmt w:val="bullet"/>
      <w:lvlText w:val="●"/>
      <w:lvlJc w:val="left"/>
      <w:pPr>
        <w:ind w:left="6480" w:hanging="360"/>
      </w:pPr>
    </w:lvl>
  </w:abstractNum>
  <w:num w:numId="1" w16cid:durableId="789784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C4"/>
    <w:rsid w:val="000D38C4"/>
    <w:rsid w:val="002B2D93"/>
    <w:rsid w:val="002C396B"/>
    <w:rsid w:val="003868BA"/>
    <w:rsid w:val="00FB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DFF1"/>
  <w15:chartTrackingRefBased/>
  <w15:docId w15:val="{B142B0B4-77FF-4A45-AB88-AB8BAE0C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8C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C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D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PVP</dc:creator>
  <cp:keywords/>
  <dc:description/>
  <cp:lastModifiedBy>Bandi PVP</cp:lastModifiedBy>
  <cp:revision>1</cp:revision>
  <dcterms:created xsi:type="dcterms:W3CDTF">2026-07-07T03:18:00Z</dcterms:created>
  <dcterms:modified xsi:type="dcterms:W3CDTF">2026-07-07T03:26:00Z</dcterms:modified>
</cp:coreProperties>
</file>