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1.7.6</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5760720" cy="9964488"/>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760720" cy="99644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t xml:space="preserve">Für längere Formeln gibt es </w:t>
      </w:r>
      <w:r>
        <w:rPr>
          <w:b/>
        </w:rPr>
        <w:t>Mehrzeilig</w:t>
      </w:r>
      <w:r>
        <w:t xml:space="preserve"> (Gleichungen untereinander, am Gleichheitszeichen ausgerichtet), </w:t>
      </w:r>
      <w:r>
        <w:rPr>
          <w:b/>
        </w:rPr>
        <w:t>Gleichungssystem</w:t>
      </w:r>
      <w:r>
        <w:t xml:space="preserve">, </w:t>
      </w:r>
      <w:r>
        <w:rPr>
          <w:b/>
        </w:rPr>
        <w:t>Fallunterscheidung</w:t>
      </w:r>
      <w:r>
        <w:t xml:space="preserve">, </w:t>
      </w:r>
      <w:r>
        <w:rPr>
          <w:b/>
        </w:rPr>
        <w:t>Matrix</w:t>
      </w:r>
      <w:r>
        <w:t xml:space="preserve">, </w:t>
      </w:r>
      <w:r>
        <w:rPr>
          <w:b/>
        </w:rPr>
        <w:t>Spaltenvektor</w:t>
      </w:r>
      <w:r>
        <w:t xml:space="preserve"> und </w:t>
      </w:r>
      <w:r>
        <w:rPr>
          <w:b/>
        </w:rPr>
        <w:t>Determinante</w:t>
      </w:r>
      <w:r>
        <w:t xml:space="preserve">. Mit </w:t>
      </w:r>
      <w:r>
        <w:rPr>
          <w:b/>
        </w:rPr>
        <w:t>Zeile dazu</w:t>
      </w:r>
      <w:r>
        <w:t xml:space="preserve">, </w:t>
      </w:r>
      <w:r>
        <w:rPr>
          <w:b/>
        </w:rPr>
        <w:t>Spalte dazu</w:t>
      </w:r>
      <w:r>
        <w:t xml:space="preserve">, </w:t>
      </w:r>
      <w:r>
        <w:rPr>
          <w:b/>
        </w:rPr>
        <w:t>Zeile weg</w:t>
      </w:r>
      <w:r>
        <w:t xml:space="preserve"> und </w:t>
      </w:r>
      <w:r>
        <w:rPr>
          <w:b/>
        </w:rPr>
        <w:t>Spalte weg</w:t>
      </w:r>
      <w:r>
        <w:t xml:space="preserve"> passt man sie an. Dazu den Cursor in die Zeile oder Spalte setzen, um die es geht.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5760720" cy="9544388"/>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5760720" cy="95443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5760720" cy="12850836"/>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5760720" cy="1285083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r>
        <w:t xml:space="preserve">Unter </w:t>
      </w:r>
      <w:r>
        <w:rPr>
          <w:b/>
        </w:rPr>
        <w:t>Einheiten</w:t>
      </w:r>
      <w:r>
        <w:t xml:space="preserve"> stehen die gebräuchlichen Einheiten. Sie erscheinen aufrecht, wie es sich gehört, und hinter einer Zahl setzt der Editor von selbst den kleinen Abstand: Man tippt 9,81 und klickt dann auf m, auf ·, auf s und auf ⁻¹ … oder ².</w:t>
      </w:r>
    </w:p>
    <w:p/>
    <w:p>
      <w:pPr>
        <w:jc w:val="center"/>
      </w:pPr>
      <w:r>
        <w:drawing>
          <wp:inline xmlns:a="http://schemas.openxmlformats.org/drawingml/2006/main" xmlns:pic="http://schemas.openxmlformats.org/drawingml/2006/picture">
            <wp:extent cx="5760720" cy="10567001"/>
            <wp:docPr id="4" name="Picture 4"/>
            <wp:cNvGraphicFramePr>
              <a:graphicFrameLocks noChangeAspect="1"/>
            </wp:cNvGraphicFramePr>
            <a:graphic>
              <a:graphicData uri="http://schemas.openxmlformats.org/drawingml/2006/picture">
                <pic:pic>
                  <pic:nvPicPr>
                    <pic:cNvPr id="0" name="18-einheiten.png"/>
                    <pic:cNvPicPr/>
                  </pic:nvPicPr>
                  <pic:blipFill>
                    <a:blip r:embed="rId14"/>
                    <a:stretch>
                      <a:fillRect/>
                    </a:stretch>
                  </pic:blipFill>
                  <pic:spPr>
                    <a:xfrm>
                      <a:off x="0" y="0"/>
                      <a:ext cx="5760720" cy="10567001"/>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Einheiten zum Anklicken</w:t>
      </w:r>
    </w:p>
    <w:p/>
    <w:p>
      <w:pPr>
        <w:pStyle w:val="Heading2"/>
      </w:pPr>
      <w:r>
        <w:t>Suchen und zuletzt benutzt</w:t>
      </w:r>
    </w:p>
    <w:p>
      <w:pPr/>
      <w:r>
        <w:t>Über den Reitern liegt ein Suchfeld. Dort tippt man einen Namen, etwa „Wurzel“, „Integral“, „Planck“, „Ohm“ oder „alpha“, und sieht sofort die passenden Bausteine. Das kleine × leert das Suchfeld wieder.</w:t>
      </w:r>
    </w:p>
    <w:p/>
    <w:p>
      <w:pPr>
        <w:jc w:val="center"/>
      </w:pPr>
      <w:r>
        <w:drawing>
          <wp:inline xmlns:a="http://schemas.openxmlformats.org/drawingml/2006/main" xmlns:pic="http://schemas.openxmlformats.org/drawingml/2006/picture">
            <wp:extent cx="5760720" cy="4669932"/>
            <wp:docPr id="5" name="Picture 5"/>
            <wp:cNvGraphicFramePr>
              <a:graphicFrameLocks noChangeAspect="1"/>
            </wp:cNvGraphicFramePr>
            <a:graphic>
              <a:graphicData uri="http://schemas.openxmlformats.org/drawingml/2006/picture">
                <pic:pic>
                  <pic:nvPicPr>
                    <pic:cNvPr id="0" name="19-suche.png"/>
                    <pic:cNvPicPr/>
                  </pic:nvPicPr>
                  <pic:blipFill>
                    <a:blip r:embed="rId15"/>
                    <a:stretch>
                      <a:fillRect/>
                    </a:stretch>
                  </pic:blipFill>
                  <pic:spPr>
                    <a:xfrm>
                      <a:off x="0" y="0"/>
                      <a:ext cx="5760720" cy="466993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Suche nach „planck“ findet beide h mit Querstrich</w:t>
      </w:r>
    </w:p>
    <w:p/>
    <w:p>
      <w:pPr/>
      <w:r>
        <w:t xml:space="preserve">Unter den Reitern erscheint die Zeile </w:t>
      </w:r>
      <w:r>
        <w:rPr>
          <w:b/>
        </w:rPr>
        <w:t>Zuletzt</w:t>
      </w:r>
      <w:r>
        <w:t xml:space="preserve"> mit den zuletzt benutzten Bausteinen.</w:t>
      </w:r>
    </w:p>
    <w:p>
      <w:pPr>
        <w:pStyle w:val="Heading2"/>
      </w:pPr>
      <w:r>
        <w:t>Meine Formeln</w:t>
      </w:r>
    </w:p>
    <w:p>
      <w:pPr/>
      <w:r>
        <w:t xml:space="preserve">Häufig gebrauchte Formeln lassen sich aufheben. Die Formel in die Eingabe schreiben, den Reiter </w:t>
      </w:r>
      <w:r>
        <w:rPr>
          <w:b/>
        </w:rPr>
        <w:t>Meine Formeln</w:t>
      </w:r>
      <w:r>
        <w:t xml:space="preserve"> öffnen, einen Namen eintragen und auf </w:t>
      </w:r>
      <w:r>
        <w:rPr>
          <w:b/>
        </w:rPr>
        <w:t>Speichern</w:t>
      </w:r>
      <w:r>
        <w:t xml:space="preserve"> klicken. Ist in der Eingabe etwas markiert, wird nur dieser Teil gespeichert. Ein Klick auf eine gespeicherte Formel setzt sie an der Stelle des Cursors in die Eingabe ein. Das × daneben löscht sie nach einer Rückfrage.</w:t>
      </w:r>
    </w:p>
    <w:p/>
    <w:p>
      <w:pPr>
        <w:jc w:val="center"/>
      </w:pPr>
      <w:r>
        <w:drawing>
          <wp:inline xmlns:a="http://schemas.openxmlformats.org/drawingml/2006/main" xmlns:pic="http://schemas.openxmlformats.org/drawingml/2006/picture">
            <wp:extent cx="5760720" cy="7124204"/>
            <wp:docPr id="6" name="Picture 6"/>
            <wp:cNvGraphicFramePr>
              <a:graphicFrameLocks noChangeAspect="1"/>
            </wp:cNvGraphicFramePr>
            <a:graphic>
              <a:graphicData uri="http://schemas.openxmlformats.org/drawingml/2006/picture">
                <pic:pic>
                  <pic:nvPicPr>
                    <pic:cNvPr id="0" name="20-meine.png"/>
                    <pic:cNvPicPr/>
                  </pic:nvPicPr>
                  <pic:blipFill>
                    <a:blip r:embed="rId16"/>
                    <a:stretch>
                      <a:fillRect/>
                    </a:stretch>
                  </pic:blipFill>
                  <pic:spPr>
                    <a:xfrm>
                      <a:off x="0" y="0"/>
                      <a:ext cx="5760720" cy="712420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Zwei gespeicherte Formeln</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kleiner Abstand zwischen Ziffern, etwa 1.159 652 180 46</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7" name="Picture 7"/>
            <wp:cNvGraphicFramePr>
              <a:graphicFrameLocks noChangeAspect="1"/>
            </wp:cNvGraphicFramePr>
            <a:graphic>
              <a:graphicData uri="http://schemas.openxmlformats.org/drawingml/2006/picture">
                <pic:pic>
                  <pic:nvPicPr>
                    <pic:cNvPr id="0" name="04-eingabe.png"/>
                    <pic:cNvPicPr/>
                  </pic:nvPicPr>
                  <pic:blipFill>
                    <a:blip r:embed="rId17"/>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8" name="Picture 8"/>
            <wp:cNvGraphicFramePr>
              <a:graphicFrameLocks noChangeAspect="1"/>
            </wp:cNvGraphicFramePr>
            <a:graphic>
              <a:graphicData uri="http://schemas.openxmlformats.org/drawingml/2006/picture">
                <pic:pic>
                  <pic:nvPicPr>
                    <pic:cNvPr id="0" name="05-farbe.png"/>
                    <pic:cNvPicPr/>
                  </pic:nvPicPr>
                  <pic:blipFill>
                    <a:blip r:embed="rId18"/>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Kompakt</w:t>
      </w:r>
      <w:r>
        <w:t xml:space="preserve"> setzt Brüche ebenfalls übereinander, aber kleiner und flacher. Richtig für Formeln mitten im Text, weil die Zeile dann kaum höher wird.</w:t>
      </w:r>
    </w:p>
    <w:p>
      <w:pPr>
        <w:pStyle w:val="ListBullet"/>
      </w:pPr>
      <w:r>
        <w:rPr>
          <w:b/>
        </w:rPr>
        <w:t>Einzeilig</w:t>
      </w:r>
      <w:r>
        <w:t xml:space="preserve"> schreibt Brüche mit Schrägstrich, also hc/λ. So passt die Formel ganz flach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5760720" cy="9868214"/>
            <wp:docPr id="9" name="Picture 9"/>
            <wp:cNvGraphicFramePr>
              <a:graphicFrameLocks noChangeAspect="1"/>
            </wp:cNvGraphicFramePr>
            <a:graphic>
              <a:graphicData uri="http://schemas.openxmlformats.org/drawingml/2006/picture">
                <pic:pic>
                  <pic:nvPicPr>
                    <pic:cNvPr id="0" name="06-vorschau.png"/>
                    <pic:cNvPicPr/>
                  </pic:nvPicPr>
                  <pic:blipFill>
                    <a:blip r:embed="rId19"/>
                    <a:stretch>
                      <a:fillRect/>
                    </a:stretch>
                  </pic:blipFill>
                  <pic:spPr>
                    <a:xfrm>
                      <a:off x="0" y="0"/>
                      <a:ext cx="5760720" cy="986821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Vorschau, hier in der Darstellung Kompakt</w:t>
      </w:r>
    </w:p>
    <w:p/>
    <w:p/>
    <w:p>
      <w:pPr>
        <w:jc w:val="center"/>
      </w:pPr>
      <w:r>
        <w:drawing>
          <wp:inline xmlns:a="http://schemas.openxmlformats.org/drawingml/2006/main" xmlns:pic="http://schemas.openxmlformats.org/drawingml/2006/picture">
            <wp:extent cx="2889504" cy="2167128"/>
            <wp:docPr id="10" name="Picture 10"/>
            <wp:cNvGraphicFramePr>
              <a:graphicFrameLocks noChangeAspect="1"/>
            </wp:cNvGraphicFramePr>
            <a:graphic>
              <a:graphicData uri="http://schemas.openxmlformats.org/drawingml/2006/picture">
                <pic:pic>
                  <pic:nvPicPr>
                    <pic:cNvPr id="0" name="07-einzeilig.png"/>
                    <pic:cNvPicPr/>
                  </pic:nvPicPr>
                  <pic:blipFill>
                    <a:blip r:embed="rId20"/>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pStyle w:val="Heading2"/>
      </w:pPr>
      <w:r>
        <w:t>Mit Gleichungsnummer</w:t>
      </w:r>
    </w:p>
    <w:p>
      <w:pPr/>
      <w:r>
        <w:t xml:space="preserve">Unter den Darstellungen steht immer das Kästchen </w:t>
      </w:r>
      <w:r>
        <w:rPr>
          <w:b/>
        </w:rPr>
        <w:t>Gleichungsnummer erzeugen</w:t>
      </w:r>
      <w:r>
        <w:t xml:space="preserve">. Es wirkt nur bei </w:t>
      </w:r>
      <w:r>
        <w:rPr>
          <w:b/>
        </w:rPr>
        <w:t>Wissenschaftlich</w:t>
      </w:r>
      <w:r>
        <w:t xml:space="preserve"> und nur bei neuen Formeln; sonst ist es grau, und eine kurze Zeile darunter sagt, warum. Ist eine vorhandene Formel geladen, zeigt das Kästchen, ob sie eine Nummer hat; die Nummer steht dann auch in der Vorschau und bleibt beim Ersetzen erhalten. Ist es angekreuzt, schlägt der Editor die nächste Nummer vor, zum Beispiel (4.13), und schaut dafür auf die Nummern davor und danach im Dokument. Die Nummer lässt sich im Feld ändern. </w:t>
      </w:r>
      <w:r>
        <w:rPr>
          <w:b/>
        </w:rPr>
        <w:t>Vorschlag</w:t>
      </w:r>
      <w:r>
        <w:t xml:space="preserve"> holt den Vorschlag zurück.</w:t>
      </w:r>
    </w:p>
    <w:p>
      <w:pPr/>
      <w:r>
        <w:t xml:space="preserve">Beim Einfügen steht die Formel in einem eigenen Absatz und die Nummer rechtsbündig dahinter. Gibt es (4.13) schon und ist </w:t>
      </w:r>
      <w:r>
        <w:rPr>
          <w:b/>
        </w:rPr>
        <w:t>Folgende Nummern weiterzählen</w:t>
      </w:r>
      <w:r>
        <w:t xml:space="preserve"> angekreuzt, macht der Editor aus der alten (4.13) eine (4.14), aus (4.14) eine (4.15) und so weiter, auch an allen Stellen im Text, die darauf verweisen.</w:t>
      </w:r>
    </w:p>
    <w:p>
      <w:pPr>
        <w:pStyle w:val="Heading2"/>
      </w:pPr>
      <w:r>
        <w:t>Das Lineal</w:t>
      </w:r>
    </w:p>
    <w:p>
      <w:pPr/>
      <w:r>
        <w:t>Oben in der Vorschau steht ein Lineal wie in Word. Es zeigt die Seite in cm, die grauen Streifen links und rechts sind die Seitenränder des Dokuments. Zwei kleine Dreiecke darunter lassen sich mit der Maus verschieben:</w:t>
      </w:r>
    </w:p>
    <w:p>
      <w:pPr>
        <w:pStyle w:val="ListBullet"/>
      </w:pPr>
      <w:r>
        <w:t xml:space="preserve">Das </w:t>
      </w:r>
      <w:r>
        <w:rPr>
          <w:b/>
        </w:rPr>
        <w:t>blaue Dreieck</w:t>
      </w:r>
      <w:r>
        <w:t xml:space="preserve"> legt fest, wo die Formel beginnt, gemessen vom linken Rand.</w:t>
      </w:r>
    </w:p>
    <w:p>
      <w:pPr>
        <w:pStyle w:val="ListBullet"/>
      </w:pPr>
      <w:r>
        <w:t xml:space="preserve">Das </w:t>
      </w:r>
      <w:r>
        <w:rPr>
          <w:b/>
        </w:rPr>
        <w:t>orange Dreieck</w:t>
      </w:r>
      <w:r>
        <w:t xml:space="preserve"> legt fest, wo die Gleichungsnummer endet, gemessen ebenfalls vom linken Rand. Bei </w:t>
      </w:r>
      <w:r>
        <w:rPr>
          <w:b/>
        </w:rPr>
        <w:t>Nummer endet bei 13,5 cm</w:t>
      </w:r>
      <w:r>
        <w:t xml:space="preserve"> steht die schließende Klammer der Nummer genau bei 13,5 cm auf dem Lineal.</w:t>
      </w:r>
    </w:p>
    <w:p>
      <w:pPr/>
      <w:r>
        <w:t>Darunter stehen beide Werte in cm. Man kann sie dort auch eintippen.</w:t>
      </w:r>
    </w:p>
    <w:p>
      <w:pPr/>
      <w:r>
        <w:t xml:space="preserve">Ist </w:t>
      </w:r>
      <w:r>
        <w:rPr>
          <w:b/>
        </w:rPr>
        <w:t>Werte für Formel übernehmen</w:t>
      </w:r>
      <w:r>
        <w:t xml:space="preserve"> angekreuzt, kommt jede neue abgesetzte Formel gleich beim Einfügen an diese Stelle, ohne weiteren Knopf. Auch eine geladene Formel rückt beim Ersetzen dorthin. Ohne Häkchen bleibt alles, wie es ist. Eine Formel mitten im Fließtext wird nie eingerückt.</w:t>
      </w:r>
    </w:p>
    <w:p>
      <w:pPr/>
      <w:r>
        <w:t xml:space="preserve">Das Lineal erscheint bei der Darstellung </w:t>
      </w:r>
      <w:r>
        <w:rPr>
          <w:b/>
        </w:rPr>
        <w:t>Wissenschaftlich</w:t>
      </w:r>
      <w:r>
        <w:t>, auch wenn eine vorhandene Formel zum Ändern geladen ist.</w:t>
      </w:r>
    </w:p>
    <w:p/>
    <w:p>
      <w:pPr>
        <w:jc w:val="center"/>
      </w:pPr>
      <w:r>
        <w:drawing>
          <wp:inline xmlns:a="http://schemas.openxmlformats.org/drawingml/2006/main" xmlns:pic="http://schemas.openxmlformats.org/drawingml/2006/picture">
            <wp:extent cx="5760720" cy="14401800"/>
            <wp:docPr id="11" name="Picture 11"/>
            <wp:cNvGraphicFramePr>
              <a:graphicFrameLocks noChangeAspect="1"/>
            </wp:cNvGraphicFramePr>
            <a:graphic>
              <a:graphicData uri="http://schemas.openxmlformats.org/drawingml/2006/picture">
                <pic:pic>
                  <pic:nvPicPr>
                    <pic:cNvPr id="0" name="21-nummer.png"/>
                    <pic:cNvPicPr/>
                  </pic:nvPicPr>
                  <pic:blipFill>
                    <a:blip r:embed="rId21"/>
                    <a:stretch>
                      <a:fillRect/>
                    </a:stretch>
                  </pic:blipFill>
                  <pic:spPr>
                    <a:xfrm>
                      <a:off x="0" y="0"/>
                      <a:ext cx="5760720" cy="144018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Lineal mit Formel ab 2 cm und Nummer endet bei 15 cm</w:t>
      </w:r>
    </w:p>
    <w:p/>
    <w:p>
      <w:pPr/>
      <w:r>
        <w:t xml:space="preserve">Der Knopf </w:t>
      </w:r>
      <w:r>
        <w:rPr>
          <w:b/>
        </w:rPr>
        <w:t>Formeln und Nummern im Dokument wie im Lineal ausrichten</w:t>
      </w:r>
      <w:r>
        <w:t xml:space="preserve"> setzt alle vorhandenen abgesetzten Formeln so, mit und ohne Nummer, dass Formeln und Nummern genau untereinanderstehen. Ein oranger Balken zeigt, wie weit er ist; am Ende steht </w:t>
      </w:r>
      <w:r>
        <w:rPr>
          <w:b/>
        </w:rPr>
        <w:t>Ausrichtung abgeschlossen</w:t>
      </w:r>
      <w:r>
        <w:t>. Am besten vorher eine Kopie des Dokuments speichern.</w:t>
      </w:r>
    </w:p>
    <w:p>
      <w:pPr>
        <w:pStyle w:val="Quote"/>
      </w:pPr>
      <w:r>
        <w:rPr>
          <w:b/>
        </w:rPr>
        <w:t>Gut zu wissen.</w:t>
      </w:r>
      <w:r>
        <w:t xml:space="preserve"> Die Nummer ist normaler Text in Word. Sie lässt sich dort auch von Hand ändern.</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
      <w:pPr>
        <w:jc w:val="center"/>
      </w:pPr>
      <w:r>
        <w:drawing>
          <wp:inline xmlns:a="http://schemas.openxmlformats.org/drawingml/2006/main" xmlns:pic="http://schemas.openxmlformats.org/drawingml/2006/picture">
            <wp:extent cx="3090672" cy="4379976"/>
            <wp:docPr id="12" name="Picture 12"/>
            <wp:cNvGraphicFramePr>
              <a:graphicFrameLocks noChangeAspect="1"/>
            </wp:cNvGraphicFramePr>
            <a:graphic>
              <a:graphicData uri="http://schemas.openxmlformats.org/drawingml/2006/picture">
                <pic:pic>
                  <pic:nvPicPr>
                    <pic:cNvPr id="0" name="08-geladen.png"/>
                    <pic:cNvPicPr/>
                  </pic:nvPicPr>
                  <pic:blipFill>
                    <a:blip r:embed="rId22"/>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13" name="Picture 13"/>
            <wp:cNvGraphicFramePr>
              <a:graphicFrameLocks noChangeAspect="1"/>
            </wp:cNvGraphicFramePr>
            <a:graphic>
              <a:graphicData uri="http://schemas.openxmlformats.org/drawingml/2006/picture">
                <pic:pic>
                  <pic:nvPicPr>
                    <pic:cNvPr id="0" name="09-geaendert.png"/>
                    <pic:cNvPicPr/>
                  </pic:nvPicPr>
                  <pic:blipFill>
                    <a:blip r:embed="rId23"/>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4" name="Picture 14"/>
            <wp:cNvGraphicFramePr>
              <a:graphicFrameLocks noChangeAspect="1"/>
            </wp:cNvGraphicFramePr>
            <a:graphic>
              <a:graphicData uri="http://schemas.openxmlformats.org/drawingml/2006/picture">
                <pic:pic>
                  <pic:nvPicPr>
                    <pic:cNvPr id="0" name="10-verlauf.png"/>
                    <pic:cNvPicPr/>
                  </pic:nvPicPr>
                  <pic:blipFill>
                    <a:blip r:embed="rId24"/>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5760720" cy="11832830"/>
            <wp:docPr id="15" name="Picture 15"/>
            <wp:cNvGraphicFramePr>
              <a:graphicFrameLocks noChangeAspect="1"/>
            </wp:cNvGraphicFramePr>
            <a:graphic>
              <a:graphicData uri="http://schemas.openxmlformats.org/drawingml/2006/picture">
                <pic:pic>
                  <pic:nvPicPr>
                    <pic:cNvPr id="0" name="13-alles.png"/>
                    <pic:cNvPicPr/>
                  </pic:nvPicPr>
                  <pic:blipFill>
                    <a:blip r:embed="rId25"/>
                    <a:stretch>
                      <a:fillRect/>
                    </a:stretch>
                  </pic:blipFill>
                  <pic:spPr>
                    <a:xfrm>
                      <a:off x="0" y="0"/>
                      <a:ext cx="5760720" cy="1183283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6" name="Picture 16"/>
            <wp:cNvGraphicFramePr>
              <a:graphicFrameLocks noChangeAspect="1"/>
            </wp:cNvGraphicFramePr>
            <a:graphic>
              <a:graphicData uri="http://schemas.openxmlformats.org/drawingml/2006/picture">
                <pic:pic>
                  <pic:nvPicPr>
                    <pic:cNvPr id="0" name="16-bericht.png"/>
                    <pic:cNvPicPr/>
                  </pic:nvPicPr>
                  <pic:blipFill>
                    <a:blip r:embed="rId26"/>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7" name="Picture 17"/>
            <wp:cNvGraphicFramePr>
              <a:graphicFrameLocks noChangeAspect="1"/>
            </wp:cNvGraphicFramePr>
            <a:graphic>
              <a:graphicData uri="http://schemas.openxmlformats.org/drawingml/2006/picture">
                <pic:pic>
                  <pic:nvPicPr>
                    <pic:cNvPr id="0" name="14-analyse.png"/>
                    <pic:cNvPicPr/>
                  </pic:nvPicPr>
                  <pic:blipFill>
                    <a:blip r:embed="rId27"/>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Gleichungsnummern prüfen:</w:t>
      </w:r>
      <w:r>
        <w:t xml:space="preserve"> zeigt für jedes Kapitel, ob Nummern doppelt vorkommen, fehlen oder durcheinander stehen, und ob der Text auf eine Nummer verweist, die es nicht gibt.</w:t>
      </w:r>
    </w:p>
    <w:p/>
    <w:p>
      <w:pPr>
        <w:jc w:val="center"/>
      </w:pPr>
      <w:r>
        <w:drawing>
          <wp:inline xmlns:a="http://schemas.openxmlformats.org/drawingml/2006/main" xmlns:pic="http://schemas.openxmlformats.org/drawingml/2006/picture">
            <wp:extent cx="5760720" cy="7055058"/>
            <wp:docPr id="18" name="Picture 18"/>
            <wp:cNvGraphicFramePr>
              <a:graphicFrameLocks noChangeAspect="1"/>
            </wp:cNvGraphicFramePr>
            <a:graphic>
              <a:graphicData uri="http://schemas.openxmlformats.org/drawingml/2006/picture">
                <pic:pic>
                  <pic:nvPicPr>
                    <pic:cNvPr id="0" name="22-pruefen.png"/>
                    <pic:cNvPicPr/>
                  </pic:nvPicPr>
                  <pic:blipFill>
                    <a:blip r:embed="rId28"/>
                    <a:stretch>
                      <a:fillRect/>
                    </a:stretch>
                  </pic:blipFill>
                  <pic:spPr>
                    <a:xfrm>
                      <a:off x="0" y="0"/>
                      <a:ext cx="5760720" cy="705505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Prüfung der Gleichungsnummern</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9" name="Picture 19"/>
            <wp:cNvGraphicFramePr>
              <a:graphicFrameLocks noChangeAspect="1"/>
            </wp:cNvGraphicFramePr>
            <a:graphic>
              <a:graphicData uri="http://schemas.openxmlformats.org/drawingml/2006/picture">
                <pic:pic>
                  <pic:nvPicPr>
                    <pic:cNvPr id="0" name="15-suche.png"/>
                    <pic:cNvPicPr/>
                  </pic:nvPicPr>
                  <pic:blipFill>
                    <a:blip r:embed="rId29"/>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5760720" cy="1022613"/>
            <wp:docPr id="20" name="Picture 20"/>
            <wp:cNvGraphicFramePr>
              <a:graphicFrameLocks noChangeAspect="1"/>
            </wp:cNvGraphicFramePr>
            <a:graphic>
              <a:graphicData uri="http://schemas.openxmlformats.org/drawingml/2006/picture">
                <pic:pic>
                  <pic:nvPicPr>
                    <pic:cNvPr id="0" name="11-fusszeile.png"/>
                    <pic:cNvPicPr/>
                  </pic:nvPicPr>
                  <pic:blipFill>
                    <a:blip r:embed="rId30"/>
                    <a:stretch>
                      <a:fillRect/>
                    </a:stretch>
                  </pic:blipFill>
                  <pic:spPr>
                    <a:xfrm>
                      <a:off x="0" y="0"/>
                      <a:ext cx="5760720" cy="102261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Problem melden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bietet er danach wieder an.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21" name="Picture 21"/>
            <wp:cNvGraphicFramePr>
              <a:graphicFrameLocks noChangeAspect="1"/>
            </wp:cNvGraphicFramePr>
            <a:graphic>
              <a:graphicData uri="http://schemas.openxmlformats.org/drawingml/2006/picture">
                <pic:pic>
                  <pic:nvPicPr>
                    <pic:cNvPr id="0" name="12-einrichtung.png"/>
                    <pic:cNvPicPr/>
                  </pic:nvPicPr>
                  <pic:blipFill>
                    <a:blip r:embed="rId31"/>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Eine Formel ist nicht verloren</w:t>
      </w:r>
    </w:p>
    <w:p>
      <w:pPr/>
      <w:r>
        <w:t>Der Editor merkt sich die Formel in der Eingabe laufend. Wird er geschlossen, bevor sie in Word steht, oder stürzt Word ab, zeigt er sie beim nächsten Öffnen oben an.</w:t>
      </w:r>
    </w:p>
    <w:p/>
    <w:p>
      <w:pPr>
        <w:jc w:val="center"/>
      </w:pPr>
      <w:r>
        <w:drawing>
          <wp:inline xmlns:a="http://schemas.openxmlformats.org/drawingml/2006/main" xmlns:pic="http://schemas.openxmlformats.org/drawingml/2006/picture">
            <wp:extent cx="5760720" cy="2242305"/>
            <wp:docPr id="22" name="Picture 22"/>
            <wp:cNvGraphicFramePr>
              <a:graphicFrameLocks noChangeAspect="1"/>
            </wp:cNvGraphicFramePr>
            <a:graphic>
              <a:graphicData uri="http://schemas.openxmlformats.org/drawingml/2006/picture">
                <pic:pic>
                  <pic:nvPicPr>
                    <pic:cNvPr id="0" name="23-entwurf.png"/>
                    <pic:cNvPicPr/>
                  </pic:nvPicPr>
                  <pic:blipFill>
                    <a:blip r:embed="rId32"/>
                    <a:stretch>
                      <a:fillRect/>
                    </a:stretch>
                  </pic:blipFill>
                  <pic:spPr>
                    <a:xfrm>
                      <a:off x="0" y="0"/>
                      <a:ext cx="5760720" cy="2242305"/>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Eine noch nicht eingefügte Formel wird angeboten</w:t>
      </w:r>
    </w:p>
    <w:p/>
    <w:p>
      <w:pPr>
        <w:pStyle w:val="ListBullet"/>
      </w:pPr>
      <w:r>
        <w:rPr>
          <w:b/>
        </w:rPr>
        <w:t>Wiederherstellen</w:t>
      </w:r>
      <w:r>
        <w:t xml:space="preserve"> holt sie in die Eingabe zurück. Gehörte sie zu einer Formel im Dokument, diese Formel einmal anklicken. Dann ersetzt der große Knopf genau sie.</w:t>
      </w:r>
    </w:p>
    <w:p>
      <w:pPr>
        <w:pStyle w:val="ListBullet"/>
      </w:pPr>
      <w:r>
        <w:rPr>
          <w:b/>
        </w:rPr>
        <w:t>Verwerfen</w:t>
      </w:r>
      <w:r>
        <w:t xml:space="preserve"> lässt sie weg.</w:t>
      </w:r>
    </w:p>
    <w:p>
      <w:pPr>
        <w:pStyle w:val="Heading2"/>
      </w:pPr>
      <w:r>
        <w:t>Problem melden</w:t>
      </w:r>
    </w:p>
    <w:p>
      <w:pPr/>
      <w:r>
        <w:t xml:space="preserve">Sieht eine Formel falsch aus oder klappt etwas nicht, unten auf </w:t>
      </w:r>
      <w:r>
        <w:rPr>
          <w:b/>
        </w:rPr>
        <w:t>Problem melden</w:t>
      </w:r>
      <w:r>
        <w:t xml:space="preserve"> klicken. In das Feld kurz schreiben, was nicht stimmt. Beim ersten Mal die E-Mail-Adresse eintragen, an die die Meldung gehen soll. Der Editor merkt sie sich.</w:t>
      </w:r>
    </w:p>
    <w:p>
      <w:pPr/>
      <w:r>
        <w:rPr>
          <w:b/>
        </w:rPr>
        <w:t>E-Mail vorbereiten</w:t>
      </w:r>
      <w:r>
        <w:t xml:space="preserve"> öffnet das E-Mail-Programm mit einer fertigen Nachricht. Darin stehen die Beschreibung, die Formel aus der Eingabe und die Version. Dann nur noch auf „Senden“ klicken. Öffnet sich nichts, </w:t>
      </w:r>
      <w:r>
        <w:rPr>
          <w:b/>
        </w:rPr>
        <w:t>Text kopieren</w:t>
      </w:r>
      <w:r>
        <w:t xml:space="preserve"> drücken und den Text mit ⌘V in eine neue E-Mail einfügen.</w:t>
      </w:r>
    </w:p>
    <w:p/>
    <w:p>
      <w:pPr>
        <w:jc w:val="center"/>
      </w:pPr>
      <w:r>
        <w:drawing>
          <wp:inline xmlns:a="http://schemas.openxmlformats.org/drawingml/2006/main" xmlns:pic="http://schemas.openxmlformats.org/drawingml/2006/picture">
            <wp:extent cx="5760720" cy="6809637"/>
            <wp:docPr id="23" name="Picture 23"/>
            <wp:cNvGraphicFramePr>
              <a:graphicFrameLocks noChangeAspect="1"/>
            </wp:cNvGraphicFramePr>
            <a:graphic>
              <a:graphicData uri="http://schemas.openxmlformats.org/drawingml/2006/picture">
                <pic:pic>
                  <pic:nvPicPr>
                    <pic:cNvPr id="0" name="24-melden.png"/>
                    <pic:cNvPicPr/>
                  </pic:nvPicPr>
                  <pic:blipFill>
                    <a:blip r:embed="rId33"/>
                    <a:stretch>
                      <a:fillRect/>
                    </a:stretch>
                  </pic:blipFill>
                  <pic:spPr>
                    <a:xfrm>
                      <a:off x="0" y="0"/>
                      <a:ext cx="5760720" cy="680963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Das Fenster Problem melden</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Der Editor bringt alle Schriften selbst mit und braucht Internet nur, um sich beim Öffnen zu laden.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9FEB7428-9991-4D9F-A3BE-89B8766EE714}" w:subsetted="false"/>
    <w:embedBold r:id="rIdF2" w:fontKey="{F7A2DC54-E6D2-47E7-9CC5-29F094B17888}" w:subsetted="false"/>
    <w:embedItalic r:id="rIdF3" w:fontKey="{843ADD80-9783-4ADF-AA4B-B81925B60F25}" w:subsetted="false"/>
    <w:embedBoldItalic r:id="rIdF4" w:fontKey="{EBD90123-709B-479A-9239-A88565ABDC02}" w:subsetted="false"/>
  </w:font>
  <w:font w:name="Fira Sans Light">
    <w:charset w:val="00"/>
    <w:family w:val="swiss"/>
    <w:pitch w:val="variable"/>
    <w:embedRegular r:id="rIdF5" w:fontKey="{C845D89C-457E-4F47-A123-17055E9AA4A9}" w:subsetted="false"/>
  </w:font>
  <w:font w:name="Fira Sans Medium">
    <w:charset w:val="00"/>
    <w:family w:val="swiss"/>
    <w:pitch w:val="variable"/>
    <w:embedRegular r:id="rIdF6" w:fontKey="{60408747-9EAD-44F5-8F4B-C1AB2E9349AE}" w:subsetted="false"/>
  </w:font>
  <w:font w:name="Fira Sans SemiBold">
    <w:charset w:val="00"/>
    <w:family w:val="swiss"/>
    <w:pitch w:val="variable"/>
    <w:embedRegular r:id="rIdF7" w:fontKey="{6A8EA274-8159-4329-ACBE-A7E69690499E}" w:subsetted="false"/>
  </w:font>
  <w:font w:name="Fira Sans ExtraBold">
    <w:charset w:val="00"/>
    <w:family w:val="swiss"/>
    <w:pitch w:val="variable"/>
    <w:embedRegular r:id="rIdF8" w:fontKey="{6DC8B161-F2EE-4504-BFB4-391BFD2EB853}" w:subsetted="false"/>
  </w:font>
  <w:font w:name="Source Serif 4">
    <w:charset w:val="00"/>
    <w:family w:val="swiss"/>
    <w:pitch w:val="variable"/>
    <w:embedRegular r:id="rIdF9" w:fontKey="{70853D89-DF3F-45B2-9B4D-75E76D004FB5}" w:subsetted="false"/>
    <w:embedBold r:id="rIdF10" w:fontKey="{F2372B88-AED2-4B4E-B00A-86871C437C84}" w:subsetted="false"/>
    <w:embedItalic r:id="rIdF11" w:fontKey="{00641053-FCA1-48B7-8069-5EBA01AEB156}"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