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Instalación y Configuración de PetCare</w:t>
      </w:r>
    </w:p>
    <w:p>
      <w:pPr>
        <w:spacing w:after="280"/>
      </w:pPr>
      <w:r>
        <w:rPr>
          <w:i/>
          <w:color w:val="55636C"/>
          <w:sz w:val="18"/>
        </w:rPr>
        <w:t>Referencia de trabajo para instalación e integración con base en el código vigente del repositorio.</w:t>
      </w:r>
    </w:p>
    <w:p>
      <w:pPr>
        <w:pStyle w:val="Heading1"/>
      </w:pPr>
      <w:r>
        <w:t>Contenido</w:t>
      </w:r>
    </w:p>
    <w:p>
      <w:pPr>
        <w:spacing w:after="240"/>
      </w:pPr>
      <w:r>
        <w:rPr>
          <w:sz w:val="17"/>
        </w:rPr>
        <w:t>1. Requisitos previos  •  2. Clonar e instalar  •  3. Configuración del backend  •  4. Arrancar backend local  •  5. Arrancar frontend  •  6. Login y OAuth externo  •  7. SMTP y notificaciones  •  8. Despliegue Vercel  •  9. Expo y APK con EAS  •  10. Verificación integral  •  11. Problemas frecuentes</w:t>
      </w:r>
    </w:p>
    <w:p>
      <w:pPr>
        <w:widowControl/>
      </w:pPr>
      <w:r>
        <w:t>Esta guía permite levantar PetCare localmente y preparar integraciones de desarrollo. El sistema tiene un cliente Expo/React Native en mobile/ y un API Express/TypeScript en backend/; el backend necesita MariaDB/MySQL accesible (Layerbase en los despliegues descritos por el repositorio). El desarrollo local puede usar una base propia, pero no se ejecutan migraciones automáticamente al iniciar la app.</w:t>
      </w:r>
    </w:p>
    <w:p>
      <w:pPr>
        <w:pStyle w:val="Heading1"/>
      </w:pPr>
      <w:r>
        <w:t>1. Requisitos previos</w:t>
      </w:r>
    </w:p>
    <w:p>
      <w:pPr>
        <w:pStyle w:val="ListBullet"/>
      </w:pPr>
      <w:r>
        <w:t>Git.</w:t>
      </w:r>
    </w:p>
    <w:p>
      <w:pPr>
        <w:pStyle w:val="ListBullet"/>
      </w:pPr>
      <w:r>
        <w:t>Node.js 22.x recomendado por la configuración actual de Expo; npm viene incluido.</w:t>
      </w:r>
    </w:p>
    <w:p>
      <w:pPr>
        <w:pStyle w:val="ListBullet"/>
      </w:pPr>
      <w:r>
        <w:t>Una base MariaDB/MySQL accesible y un usuario con los permisos necesarios para las tablas requeridas.</w:t>
      </w:r>
    </w:p>
    <w:p>
      <w:pPr>
        <w:pStyle w:val="ListBullet"/>
      </w:pPr>
      <w:r>
        <w:t>Android Studio y Android SDK si se desea emulador/build local Android; un navegador moderno es suficiente para web.</w:t>
      </w:r>
    </w:p>
    <w:p>
      <w:pPr>
        <w:pStyle w:val="ListBullet"/>
      </w:pPr>
      <w:r>
        <w:t>Cuenta Expo/EAS solo para builds distribuidos; cuenta Vercel si se despliega allí.</w:t>
      </w:r>
    </w:p>
    <w:p>
      <w:pPr>
        <w:pStyle w:val="ListBullet"/>
      </w:pPr>
      <w:r>
        <w:t>Acceso a las consolas Google Cloud, Meta y X solo si se configura login social.</w:t>
      </w:r>
    </w:p>
    <w:p>
      <w:pPr>
        <w:pStyle w:val="ListBullet"/>
      </w:pPr>
      <w:r>
        <w:t>SMTP y proveedor de imágenes (Cloudinary o almacenamiento S3 compatible) solo para esas capacidades.</w:t>
      </w:r>
    </w:p>
    <w:p>
      <w:pPr>
        <w:widowControl/>
      </w:pPr>
      <w:r>
        <w:t>Revisar versiones/compatibilidad en backend/package.json, mobile/package.json, mobile/app.json y mobile/eas.json. mobile utiliza Expo Router, React Native y SDK configurado por las dependencias actuales; no sustituir versiones a partir de esta guía sin revisar compatibilidad.</w:t>
      </w:r>
    </w:p>
    <w:p>
      <w:pPr>
        <w:pStyle w:val="Heading1"/>
      </w:pPr>
      <w:r>
        <w:t>2. Clonar e instalar</w:t>
      </w:r>
    </w:p>
    <w:p>
      <w:pPr>
        <w:spacing w:after="140"/>
        <w:ind w:left="173"/>
        <w:shd w:fill="F1F5F7"/>
      </w:pPr>
      <w:r>
        <w:rPr>
          <w:rFonts w:ascii="Consolas" w:hAnsi="Consolas"/>
          <w:color w:val="28373E"/>
          <w:sz w:val="15"/>
        </w:rPr>
        <w:t>git clone &lt;URL_DEL_REPOSITORIO&gt;</w:t>
      </w:r>
      <w:r>
        <w:br/>
      </w:r>
      <w:r>
        <w:rPr>
          <w:rFonts w:ascii="Consolas" w:hAnsi="Consolas"/>
          <w:color w:val="28373E"/>
          <w:sz w:val="15"/>
        </w:rPr>
        <w:t>cd PetCare-SistemaVeterinario</w:t>
      </w:r>
      <w:r>
        <w:br/>
      </w:r>
      <w:r>
        <w:rPr>
          <w:rFonts w:ascii="Consolas" w:hAnsi="Consolas"/>
          <w:color w:val="28373E"/>
          <w:sz w:val="15"/>
        </w:rPr>
      </w:r>
      <w:r>
        <w:br/>
      </w:r>
      <w:r>
        <w:rPr>
          <w:rFonts w:ascii="Consolas" w:hAnsi="Consolas"/>
          <w:color w:val="28373E"/>
          <w:sz w:val="15"/>
        </w:rPr>
        <w:t>cd backend</w:t>
      </w:r>
      <w:r>
        <w:br/>
      </w:r>
      <w:r>
        <w:rPr>
          <w:rFonts w:ascii="Consolas" w:hAnsi="Consolas"/>
          <w:color w:val="28373E"/>
          <w:sz w:val="15"/>
        </w:rPr>
        <w:t>npm ci</w:t>
      </w:r>
      <w:r>
        <w:br/>
      </w:r>
      <w:r>
        <w:rPr>
          <w:rFonts w:ascii="Consolas" w:hAnsi="Consolas"/>
          <w:color w:val="28373E"/>
          <w:sz w:val="15"/>
        </w:rPr>
        <w:t>cp .env.example .env</w:t>
      </w:r>
      <w:r>
        <w:br/>
      </w:r>
      <w:r>
        <w:rPr>
          <w:rFonts w:ascii="Consolas" w:hAnsi="Consolas"/>
          <w:color w:val="28373E"/>
          <w:sz w:val="15"/>
        </w:rPr>
        <w:t>cd ../mobile</w:t>
      </w:r>
      <w:r>
        <w:br/>
      </w:r>
      <w:r>
        <w:rPr>
          <w:rFonts w:ascii="Consolas" w:hAnsi="Consolas"/>
          <w:color w:val="28373E"/>
          <w:sz w:val="15"/>
        </w:rPr>
        <w:t>npm ci</w:t>
      </w:r>
      <w:r>
        <w:br/>
      </w:r>
      <w:r>
        <w:rPr>
          <w:rFonts w:ascii="Consolas" w:hAnsi="Consolas"/>
          <w:color w:val="28373E"/>
          <w:sz w:val="15"/>
        </w:rPr>
        <w:t>cp .env.example .env</w:t>
      </w:r>
    </w:p>
    <w:p>
      <w:pPr>
        <w:widowControl/>
      </w:pPr>
      <w:r>
        <w:t>En PowerShell, la copia equivalente es Copy-Item .env.example .env. No versionar archivos .env ni compartirlos. No se reproducen valores secretos de archivos locales.</w:t>
      </w:r>
    </w:p>
    <w:p>
      <w:pPr>
        <w:pStyle w:val="Heading1"/>
      </w:pPr>
      <w:r>
        <w:t>3. Configuración del backend</w:t>
      </w:r>
    </w:p>
    <w:p>
      <w:pPr>
        <w:widowControl/>
      </w:pPr>
      <w:r>
        <w:t>Editar backend/.env local. Variables de configuración principales:</w:t>
      </w:r>
    </w:p>
    <w:tbl>
      <w:tblPr>
        <w:tblStyle w:val="LightShading-Accent1"/>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shd w:fill="174A5B"/>
          </w:tcPr>
          <w:p>
            <w:pPr>
              <w:spacing w:after="40"/>
            </w:pPr>
            <w:r/>
            <w:r>
              <w:rPr>
                <w:rFonts w:ascii="Aptos" w:hAnsi="Aptos"/>
                <w:b/>
                <w:color w:val="FFFFFF"/>
                <w:sz w:val="16"/>
              </w:rPr>
              <w:t>Grupo</w:t>
            </w:r>
          </w:p>
        </w:tc>
        <w:tc>
          <w:tcPr>
            <w:tcW w:type="dxa" w:w="3408"/>
            <w:vAlign w:val="top"/>
            <w:shd w:fill="174A5B"/>
          </w:tcPr>
          <w:p>
            <w:pPr>
              <w:spacing w:after="40"/>
            </w:pPr>
            <w:r/>
            <w:r>
              <w:rPr>
                <w:rFonts w:ascii="Aptos" w:hAnsi="Aptos"/>
                <w:b/>
                <w:color w:val="FFFFFF"/>
                <w:sz w:val="16"/>
              </w:rPr>
              <w:t>Variables</w:t>
            </w:r>
          </w:p>
        </w:tc>
        <w:tc>
          <w:tcPr>
            <w:tcW w:type="dxa" w:w="3408"/>
            <w:vAlign w:val="top"/>
            <w:shd w:fill="174A5B"/>
          </w:tcPr>
          <w:p>
            <w:pPr>
              <w:spacing w:after="40"/>
            </w:pPr>
            <w:r/>
            <w:r>
              <w:rPr>
                <w:rFonts w:ascii="Aptos" w:hAnsi="Aptos"/>
                <w:b/>
                <w:color w:val="FFFFFF"/>
                <w:sz w:val="16"/>
              </w:rPr>
              <w:t>Uso</w:t>
            </w:r>
          </w:p>
        </w:tc>
      </w:tr>
      <w:tr>
        <w:tc>
          <w:tcPr>
            <w:tcW w:type="dxa" w:w="3408"/>
            <w:vAlign w:val="top"/>
          </w:tcPr>
          <w:p>
            <w:pPr>
              <w:spacing w:after="40"/>
            </w:pPr>
            <w:r/>
            <w:r>
              <w:rPr>
                <w:rFonts w:ascii="Aptos" w:hAnsi="Aptos"/>
                <w:sz w:val="16"/>
              </w:rPr>
              <w:t>Proceso</w:t>
            </w:r>
          </w:p>
        </w:tc>
        <w:tc>
          <w:tcPr>
            <w:tcW w:type="dxa" w:w="3408"/>
            <w:vAlign w:val="top"/>
          </w:tcPr>
          <w:p>
            <w:pPr>
              <w:spacing w:after="40"/>
            </w:pPr>
            <w:r/>
            <w:r>
              <w:rPr>
                <w:rFonts w:ascii="Aptos" w:hAnsi="Aptos"/>
                <w:sz w:val="16"/>
              </w:rPr>
              <w:t>NODE_ENV, PORT</w:t>
            </w:r>
          </w:p>
        </w:tc>
        <w:tc>
          <w:tcPr>
            <w:tcW w:type="dxa" w:w="3408"/>
            <w:vAlign w:val="top"/>
          </w:tcPr>
          <w:p>
            <w:pPr>
              <w:spacing w:after="40"/>
            </w:pPr>
            <w:r/>
            <w:r>
              <w:rPr>
                <w:rFonts w:ascii="Aptos" w:hAnsi="Aptos"/>
                <w:sz w:val="16"/>
              </w:rPr>
              <w:t>development y puerto 3000 como valores locales habituales.</w:t>
            </w:r>
          </w:p>
        </w:tc>
      </w:tr>
      <w:tr>
        <w:tc>
          <w:tcPr>
            <w:tcW w:type="dxa" w:w="3408"/>
            <w:vAlign w:val="top"/>
          </w:tcPr>
          <w:p>
            <w:pPr>
              <w:spacing w:after="40"/>
            </w:pPr>
            <w:r/>
            <w:r>
              <w:rPr>
                <w:rFonts w:ascii="Aptos" w:hAnsi="Aptos"/>
                <w:sz w:val="16"/>
              </w:rPr>
              <w:t>Base de datos</w:t>
            </w:r>
          </w:p>
        </w:tc>
        <w:tc>
          <w:tcPr>
            <w:tcW w:type="dxa" w:w="3408"/>
            <w:vAlign w:val="top"/>
          </w:tcPr>
          <w:p>
            <w:pPr>
              <w:spacing w:after="40"/>
            </w:pPr>
            <w:r/>
            <w:r>
              <w:rPr>
                <w:rFonts w:ascii="Aptos" w:hAnsi="Aptos"/>
                <w:sz w:val="16"/>
              </w:rPr>
              <w:t>DB_HOST, DB_PORT, DB_NAME, DB_USER, DB_PASSWORD, DB_SSL_MODE, DB_CONNECTION_LIMIT, DB_CONNECT_TIMEOUT_MS</w:t>
            </w:r>
          </w:p>
        </w:tc>
        <w:tc>
          <w:tcPr>
            <w:tcW w:type="dxa" w:w="3408"/>
            <w:vAlign w:val="top"/>
          </w:tcPr>
          <w:p>
            <w:pPr>
              <w:spacing w:after="40"/>
            </w:pPr>
            <w:r/>
            <w:r>
              <w:rPr>
                <w:rFonts w:ascii="Aptos" w:hAnsi="Aptos"/>
                <w:sz w:val="16"/>
              </w:rPr>
              <w:t>Host/credenciales MariaDB/MySQL. En producción el host, usuario y contraseña son obligatorios; TLS debe estar activo. Host local solo en desarrollo.</w:t>
            </w:r>
          </w:p>
        </w:tc>
      </w:tr>
      <w:tr>
        <w:tc>
          <w:tcPr>
            <w:tcW w:type="dxa" w:w="3408"/>
            <w:vAlign w:val="top"/>
          </w:tcPr>
          <w:p>
            <w:pPr>
              <w:spacing w:after="40"/>
            </w:pPr>
            <w:r/>
            <w:r>
              <w:rPr>
                <w:rFonts w:ascii="Aptos" w:hAnsi="Aptos"/>
                <w:sz w:val="16"/>
              </w:rPr>
              <w:t>JWT</w:t>
            </w:r>
          </w:p>
        </w:tc>
        <w:tc>
          <w:tcPr>
            <w:tcW w:type="dxa" w:w="3408"/>
            <w:vAlign w:val="top"/>
          </w:tcPr>
          <w:p>
            <w:pPr>
              <w:spacing w:after="40"/>
            </w:pPr>
            <w:r/>
            <w:r>
              <w:rPr>
                <w:rFonts w:ascii="Aptos" w:hAnsi="Aptos"/>
                <w:sz w:val="16"/>
              </w:rPr>
              <w:t>JWT_ACCESS_SECRET, JWT_ACCESS_TTL_SECONDS, JWT_ISSUER, JWT_AUDIENCE, BCRYPT_SALT_ROUNDS</w:t>
            </w:r>
          </w:p>
        </w:tc>
        <w:tc>
          <w:tcPr>
            <w:tcW w:type="dxa" w:w="3408"/>
            <w:vAlign w:val="top"/>
          </w:tcPr>
          <w:p>
            <w:pPr>
              <w:spacing w:after="40"/>
            </w:pPr>
            <w:r/>
            <w:r>
              <w:rPr>
                <w:rFonts w:ascii="Aptos" w:hAnsi="Aptos"/>
                <w:sz w:val="16"/>
              </w:rPr>
              <w:t>Claves y duración de autenticación. El secreto debe ser aleatorio y tener 32 bytes como mínimo; TTL entre 1 y 3600 segundos.</w:t>
            </w:r>
          </w:p>
        </w:tc>
      </w:tr>
      <w:tr>
        <w:tc>
          <w:tcPr>
            <w:tcW w:type="dxa" w:w="3408"/>
            <w:vAlign w:val="top"/>
          </w:tcPr>
          <w:p>
            <w:pPr>
              <w:spacing w:after="40"/>
            </w:pPr>
            <w:r/>
            <w:r>
              <w:rPr>
                <w:rFonts w:ascii="Aptos" w:hAnsi="Aptos"/>
                <w:sz w:val="16"/>
              </w:rPr>
              <w:t>Web</w:t>
            </w:r>
          </w:p>
        </w:tc>
        <w:tc>
          <w:tcPr>
            <w:tcW w:type="dxa" w:w="3408"/>
            <w:vAlign w:val="top"/>
          </w:tcPr>
          <w:p>
            <w:pPr>
              <w:spacing w:after="40"/>
            </w:pPr>
            <w:r/>
            <w:r>
              <w:rPr>
                <w:rFonts w:ascii="Aptos" w:hAnsi="Aptos"/>
                <w:sz w:val="16"/>
              </w:rPr>
              <w:t>CORS_ALLOWED_ORIGINS</w:t>
            </w:r>
          </w:p>
        </w:tc>
        <w:tc>
          <w:tcPr>
            <w:tcW w:type="dxa" w:w="3408"/>
            <w:vAlign w:val="top"/>
          </w:tcPr>
          <w:p>
            <w:pPr>
              <w:spacing w:after="40"/>
            </w:pPr>
            <w:r/>
            <w:r>
              <w:rPr>
                <w:rFonts w:ascii="Aptos" w:hAnsi="Aptos"/>
                <w:sz w:val="16"/>
              </w:rPr>
              <w:t>Orígenes web separados por coma, sin rutas. Producción acepta únicamente orígenes HTTPS exactos.</w:t>
            </w:r>
          </w:p>
        </w:tc>
      </w:tr>
      <w:tr>
        <w:tc>
          <w:tcPr>
            <w:tcW w:type="dxa" w:w="3408"/>
            <w:vAlign w:val="top"/>
          </w:tcPr>
          <w:p>
            <w:pPr>
              <w:spacing w:after="40"/>
            </w:pPr>
            <w:r/>
            <w:r>
              <w:rPr>
                <w:rFonts w:ascii="Aptos" w:hAnsi="Aptos"/>
                <w:sz w:val="16"/>
              </w:rPr>
              <w:t>Correo</w:t>
            </w:r>
          </w:p>
        </w:tc>
        <w:tc>
          <w:tcPr>
            <w:tcW w:type="dxa" w:w="3408"/>
            <w:vAlign w:val="top"/>
          </w:tcPr>
          <w:p>
            <w:pPr>
              <w:spacing w:after="40"/>
            </w:pPr>
            <w:r/>
            <w:r>
              <w:rPr>
                <w:rFonts w:ascii="Aptos" w:hAnsi="Aptos"/>
                <w:sz w:val="16"/>
              </w:rPr>
              <w:t>SMTP_HOST, SMTP_PORT, SMTP_SECURE, SMTP_REQUIRE_TLS, SMTP_USER, SMTP_PASSWORD, MAIL_FROM, EMAIL_CODE_SECRET</w:t>
            </w:r>
          </w:p>
        </w:tc>
        <w:tc>
          <w:tcPr>
            <w:tcW w:type="dxa" w:w="3408"/>
            <w:vAlign w:val="top"/>
          </w:tcPr>
          <w:p>
            <w:pPr>
              <w:spacing w:after="40"/>
            </w:pPr>
            <w:r/>
            <w:r>
              <w:rPr>
                <w:rFonts w:ascii="Aptos" w:hAnsi="Aptos"/>
                <w:sz w:val="16"/>
              </w:rPr>
              <w:t>SMTP y firma de códigos de email. EMAIL_CODE_SECRET debe ser un secreto aleatorio independiente.</w:t>
            </w:r>
          </w:p>
        </w:tc>
      </w:tr>
      <w:tr>
        <w:tc>
          <w:tcPr>
            <w:tcW w:type="dxa" w:w="3408"/>
            <w:vAlign w:val="top"/>
          </w:tcPr>
          <w:p>
            <w:pPr>
              <w:spacing w:after="40"/>
            </w:pPr>
            <w:r/>
            <w:r>
              <w:rPr>
                <w:rFonts w:ascii="Aptos" w:hAnsi="Aptos"/>
                <w:sz w:val="16"/>
              </w:rPr>
              <w:t>Flujos por email</w:t>
            </w:r>
          </w:p>
        </w:tc>
        <w:tc>
          <w:tcPr>
            <w:tcW w:type="dxa" w:w="3408"/>
            <w:vAlign w:val="top"/>
          </w:tcPr>
          <w:p>
            <w:pPr>
              <w:spacing w:after="40"/>
            </w:pPr>
            <w:r/>
            <w:r>
              <w:rPr>
                <w:rFonts w:ascii="Aptos" w:hAnsi="Aptos"/>
                <w:sz w:val="16"/>
              </w:rPr>
              <w:t>PASSWORD_RESET_URL, ACCOUNT_INVITATION_URL, VETERINARIAN_INVITATION_URL</w:t>
            </w:r>
          </w:p>
        </w:tc>
        <w:tc>
          <w:tcPr>
            <w:tcW w:type="dxa" w:w="3408"/>
            <w:vAlign w:val="top"/>
          </w:tcPr>
          <w:p>
            <w:pPr>
              <w:spacing w:after="40"/>
            </w:pPr>
            <w:r/>
            <w:r>
              <w:rPr>
                <w:rFonts w:ascii="Aptos" w:hAnsi="Aptos"/>
                <w:sz w:val="16"/>
              </w:rPr>
              <w:t>URLs frontend de recuperación y activación.</w:t>
            </w:r>
          </w:p>
        </w:tc>
      </w:tr>
      <w:tr>
        <w:tc>
          <w:tcPr>
            <w:tcW w:type="dxa" w:w="3408"/>
            <w:vAlign w:val="top"/>
          </w:tcPr>
          <w:p>
            <w:pPr>
              <w:spacing w:after="40"/>
            </w:pPr>
            <w:r/>
            <w:r>
              <w:rPr>
                <w:rFonts w:ascii="Aptos" w:hAnsi="Aptos"/>
                <w:sz w:val="16"/>
              </w:rPr>
              <w:t>OAuth</w:t>
            </w:r>
          </w:p>
        </w:tc>
        <w:tc>
          <w:tcPr>
            <w:tcW w:type="dxa" w:w="3408"/>
            <w:vAlign w:val="top"/>
          </w:tcPr>
          <w:p>
            <w:pPr>
              <w:spacing w:after="40"/>
            </w:pPr>
            <w:r/>
            <w:r>
              <w:rPr>
                <w:rFonts w:ascii="Aptos" w:hAnsi="Aptos"/>
                <w:sz w:val="16"/>
              </w:rPr>
              <w:t>BACKEND_URL, OAUTH_RETURN_URLS, GOOGLE_CLIENT_ID, GOOGLE_CLIENT_SECRET, FACEBOOK_CLIENT_ID, FACEBOOK_CLIENT_SECRET, FACEBOOK_GRAPH_VERSION, X_CLIENT_ID, X_CLIENT_SECRET</w:t>
            </w:r>
          </w:p>
        </w:tc>
        <w:tc>
          <w:tcPr>
            <w:tcW w:type="dxa" w:w="3408"/>
            <w:vAlign w:val="top"/>
          </w:tcPr>
          <w:p>
            <w:pPr>
              <w:spacing w:after="40"/>
            </w:pPr>
            <w:r/>
            <w:r>
              <w:rPr>
                <w:rFonts w:ascii="Aptos" w:hAnsi="Aptos"/>
                <w:sz w:val="16"/>
              </w:rPr>
              <w:t>Callbacks y secretos de proveedores, solo en backend. El código también admite nombres legacy TWITTER_CLIENT_ID/TWITTER_CLIENT_SECRET.</w:t>
            </w:r>
          </w:p>
        </w:tc>
      </w:tr>
      <w:tr>
        <w:tc>
          <w:tcPr>
            <w:tcW w:type="dxa" w:w="3408"/>
            <w:vAlign w:val="top"/>
          </w:tcPr>
          <w:p>
            <w:pPr>
              <w:spacing w:after="40"/>
            </w:pPr>
            <w:r/>
            <w:r>
              <w:rPr>
                <w:rFonts w:ascii="Aptos" w:hAnsi="Aptos"/>
                <w:sz w:val="16"/>
              </w:rPr>
              <w:t>Notificaciones</w:t>
            </w:r>
          </w:p>
        </w:tc>
        <w:tc>
          <w:tcPr>
            <w:tcW w:type="dxa" w:w="3408"/>
            <w:vAlign w:val="top"/>
          </w:tcPr>
          <w:p>
            <w:pPr>
              <w:spacing w:after="40"/>
            </w:pPr>
            <w:r/>
            <w:r>
              <w:rPr>
                <w:rFonts w:ascii="Aptos" w:hAnsi="Aptos"/>
                <w:sz w:val="16"/>
              </w:rPr>
              <w:t>CRON_SECRET, EXPO_PUSH_ACCESS_TOKEN</w:t>
            </w:r>
          </w:p>
        </w:tc>
        <w:tc>
          <w:tcPr>
            <w:tcW w:type="dxa" w:w="3408"/>
            <w:vAlign w:val="top"/>
          </w:tcPr>
          <w:p>
            <w:pPr>
              <w:spacing w:after="40"/>
            </w:pPr>
            <w:r/>
            <w:r>
              <w:rPr>
                <w:rFonts w:ascii="Aptos" w:hAnsi="Aptos"/>
                <w:sz w:val="16"/>
              </w:rPr>
              <w:t>Proteger cron y enviar push desde backend. CRON_SECRET debe ser secreto aleatorio de 32 bytes o más.</w:t>
            </w:r>
          </w:p>
        </w:tc>
      </w:tr>
      <w:tr>
        <w:tc>
          <w:tcPr>
            <w:tcW w:type="dxa" w:w="3408"/>
            <w:vAlign w:val="top"/>
          </w:tcPr>
          <w:p>
            <w:pPr>
              <w:spacing w:after="40"/>
            </w:pPr>
            <w:r/>
            <w:r>
              <w:rPr>
                <w:rFonts w:ascii="Aptos" w:hAnsi="Aptos"/>
                <w:sz w:val="16"/>
              </w:rPr>
              <w:t>Fotos</w:t>
            </w:r>
          </w:p>
        </w:tc>
        <w:tc>
          <w:tcPr>
            <w:tcW w:type="dxa" w:w="3408"/>
            <w:vAlign w:val="top"/>
          </w:tcPr>
          <w:p>
            <w:pPr>
              <w:spacing w:after="40"/>
            </w:pPr>
            <w:r/>
            <w:r>
              <w:rPr>
                <w:rFonts w:ascii="Aptos" w:hAnsi="Aptos"/>
                <w:sz w:val="16"/>
              </w:rPr>
              <w:t>CLOUDINARY_CLOUD_NAME, CLOUDINARY_API_KEY, CLOUDINARY_API_SECRET o BUCKET, REGION, ENDPOINT, ACCESS_KEY_ID, SECRET_ACCESS_KEY, PET_PHOTO_S3_URL_STYLE</w:t>
            </w:r>
          </w:p>
        </w:tc>
        <w:tc>
          <w:tcPr>
            <w:tcW w:type="dxa" w:w="3408"/>
            <w:vAlign w:val="top"/>
          </w:tcPr>
          <w:p>
            <w:pPr>
              <w:spacing w:after="40"/>
            </w:pPr>
            <w:r/>
            <w:r>
              <w:rPr>
                <w:rFonts w:ascii="Aptos" w:hAnsi="Aptos"/>
                <w:sz w:val="16"/>
              </w:rPr>
              <w:t>Almacenamiento de imágenes. Configure un proveedor compatible; nunca en mobile ni EXPO_PUBLIC_*.</w:t>
            </w:r>
          </w:p>
        </w:tc>
      </w:tr>
      <w:tr>
        <w:tc>
          <w:tcPr>
            <w:tcW w:type="dxa" w:w="3408"/>
            <w:vAlign w:val="top"/>
          </w:tcPr>
          <w:p>
            <w:pPr>
              <w:spacing w:after="40"/>
            </w:pPr>
            <w:r/>
            <w:r>
              <w:rPr>
                <w:rFonts w:ascii="Aptos" w:hAnsi="Aptos"/>
                <w:sz w:val="16"/>
              </w:rPr>
              <w:t>Tienda</w:t>
            </w:r>
          </w:p>
        </w:tc>
        <w:tc>
          <w:tcPr>
            <w:tcW w:type="dxa" w:w="3408"/>
            <w:vAlign w:val="top"/>
          </w:tcPr>
          <w:p>
            <w:pPr>
              <w:spacing w:after="40"/>
            </w:pPr>
            <w:r/>
            <w:r>
              <w:rPr>
                <w:rFonts w:ascii="Aptos" w:hAnsi="Aptos"/>
                <w:sz w:val="16"/>
              </w:rPr>
              <w:t>STORE_DEMO_MODE</w:t>
            </w:r>
          </w:p>
        </w:tc>
        <w:tc>
          <w:tcPr>
            <w:tcW w:type="dxa" w:w="3408"/>
            <w:vAlign w:val="top"/>
          </w:tcPr>
          <w:p>
            <w:pPr>
              <w:spacing w:after="40"/>
            </w:pPr>
            <w:r/>
            <w:r>
              <w:rPr>
                <w:rFonts w:ascii="Aptos" w:hAnsi="Aptos"/>
                <w:sz w:val="16"/>
              </w:rPr>
              <w:t>Por defecto falso. true habilita el checkout de demostración; no procesa cobros reales.</w:t>
            </w:r>
          </w:p>
        </w:tc>
      </w:tr>
    </w:tbl>
    <w:p>
      <w:pPr>
        <w:spacing w:after="0"/>
      </w:pPr>
    </w:p>
    <w:p>
      <w:pPr>
        <w:widowControl/>
      </w:pPr>
      <w:r>
        <w:t>Las variables se validan en backend/src/config/env.ts, config/mail.ts, config/oauth.ts y servicios. backend/.env.example es el inventario base actualizado. Los nombres opcionales PETCARE_EXPECTED_DB_HOST y PETCARE_EXPECTED_DB_NAME son específicos de preflight de migraciones y no se necesitan para arrancar la app.</w:t>
      </w:r>
    </w:p>
    <w:p>
      <w:pPr>
        <w:pStyle w:val="Heading2"/>
      </w:pPr>
      <w:r>
        <w:t>Layerbase/MariaDB</w:t>
      </w:r>
    </w:p>
    <w:p>
      <w:pPr>
        <w:widowControl/>
      </w:pPr>
      <w:r>
        <w:t>Obtenga host, puerto, nombre de base, usuario, contraseña y requisitos TLS desde el panel de Layerbase. No suponga que localhost apunta a una base remota. Use DB_SSL_MODE=required (o verify_identity cuando el host/certificado lo permite). Producción rechaza loopback, IP privada LAN y hosts Railway heredados.</w:t>
      </w:r>
    </w:p>
    <w:p>
      <w:pPr>
        <w:widowControl/>
      </w:pPr>
      <w:r>
        <w:t>Con backend/.env completo, confirme conectividad con:</w:t>
      </w:r>
    </w:p>
    <w:p>
      <w:pPr>
        <w:spacing w:after="140"/>
        <w:ind w:left="173"/>
        <w:shd w:fill="F1F5F7"/>
      </w:pPr>
      <w:r>
        <w:rPr>
          <w:rFonts w:ascii="Consolas" w:hAnsi="Consolas"/>
          <w:color w:val="28373E"/>
          <w:sz w:val="15"/>
        </w:rPr>
        <w:t>cd backend</w:t>
      </w:r>
      <w:r>
        <w:br/>
      </w:r>
      <w:r>
        <w:rPr>
          <w:rFonts w:ascii="Consolas" w:hAnsi="Consolas"/>
          <w:color w:val="28373E"/>
          <w:sz w:val="15"/>
        </w:rPr>
        <w:t>npm run db:check</w:t>
      </w:r>
      <w:r>
        <w:br/>
      </w:r>
      <w:r>
        <w:rPr>
          <w:rFonts w:ascii="Consolas" w:hAnsi="Consolas"/>
          <w:color w:val="28373E"/>
          <w:sz w:val="15"/>
        </w:rPr>
        <w:t>npm run db:audit:readonly</w:t>
      </w:r>
    </w:p>
    <w:p>
      <w:pPr>
        <w:widowControl/>
      </w:pPr>
      <w:r>
        <w:t>db:check y db:audit:readonly son operaciones de comprobación/lectura. No ejecute db:migrate, db:bootstrap, db:seed ni scripts db:migrate:* sin revisar el SQL, el estado del esquema y contar con autorización del operador de la base. La app no corrige automáticamente el esquema al iniciar. En producción, la conexión de health check puede probarse con GET /api/health/database.</w:t>
      </w:r>
    </w:p>
    <w:p>
      <w:pPr>
        <w:widowControl/>
      </w:pPr>
      <w:r>
        <w:t>Bloqueo confirmado para una instalación desde cero: en este checkout faltan los directorios backend/bootstrap/ y backend/migrations/, que los runners src/database/bootstrap.ts y src/database/migration-files.ts intentan leer. Por eso los scripts db:bootstrap y db:migrate aparecen en package.json, pero no tienen el SQL base necesario para completar una instalación limpia. Los migradores de extensiones no sustituyen una secuencia base completa. Antes de crear una base nueva, solicite y revise al mantenedor los archivos canónicos faltantes y el orden soportado; no ejecute un bootstrap parcial ni restaure solo una parte de las migraciones.</w:t>
      </w:r>
    </w:p>
    <w:p>
      <w:pPr>
        <w:pStyle w:val="Heading1"/>
      </w:pPr>
      <w:r>
        <w:t>4. Arrancar backend local</w:t>
      </w:r>
    </w:p>
    <w:p>
      <w:pPr>
        <w:spacing w:after="140"/>
        <w:ind w:left="173"/>
        <w:shd w:fill="F1F5F7"/>
      </w:pPr>
      <w:r>
        <w:rPr>
          <w:rFonts w:ascii="Consolas" w:hAnsi="Consolas"/>
          <w:color w:val="28373E"/>
          <w:sz w:val="15"/>
        </w:rPr>
        <w:t>cd backend</w:t>
      </w:r>
      <w:r>
        <w:br/>
      </w:r>
      <w:r>
        <w:rPr>
          <w:rFonts w:ascii="Consolas" w:hAnsi="Consolas"/>
          <w:color w:val="28373E"/>
          <w:sz w:val="15"/>
        </w:rPr>
        <w:t>npm run dev</w:t>
      </w:r>
    </w:p>
    <w:p>
      <w:pPr>
        <w:widowControl/>
      </w:pPr>
      <w:r>
        <w:t>Servidor por defecto: http://localhost:3000; API base: http://localhost:3000/api. GET /api/health comprueba que Express responde y GET /api/health/database comprueba conexión SQL. Los logs del backend están sanitizados para no mostrar SQL completo, parámetros ni tokens.</w:t>
      </w:r>
    </w:p>
    <w:p>
      <w:pPr>
        <w:widowControl/>
      </w:pPr>
      <w:r>
        <w:t>Comandos disponibles en backend/package.json:</w:t>
      </w:r>
    </w:p>
    <w:tbl>
      <w:tblPr>
        <w:tblStyle w:val="LightShading-Accent1"/>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top"/>
            <w:shd w:fill="174A5B"/>
          </w:tcPr>
          <w:p>
            <w:pPr>
              <w:spacing w:after="40"/>
            </w:pPr>
            <w:r/>
            <w:r>
              <w:rPr>
                <w:rFonts w:ascii="Aptos" w:hAnsi="Aptos"/>
                <w:b/>
                <w:color w:val="FFFFFF"/>
                <w:sz w:val="16"/>
              </w:rPr>
              <w:t>Comando</w:t>
            </w:r>
          </w:p>
        </w:tc>
        <w:tc>
          <w:tcPr>
            <w:tcW w:type="dxa" w:w="5112"/>
            <w:vAlign w:val="top"/>
            <w:shd w:fill="174A5B"/>
          </w:tcPr>
          <w:p>
            <w:pPr>
              <w:spacing w:after="40"/>
            </w:pPr>
            <w:r/>
            <w:r>
              <w:rPr>
                <w:rFonts w:ascii="Aptos" w:hAnsi="Aptos"/>
                <w:b/>
                <w:color w:val="FFFFFF"/>
                <w:sz w:val="16"/>
              </w:rPr>
              <w:t>Resultado</w:t>
            </w:r>
          </w:p>
        </w:tc>
      </w:tr>
      <w:tr>
        <w:tc>
          <w:tcPr>
            <w:tcW w:type="dxa" w:w="5112"/>
            <w:vAlign w:val="top"/>
          </w:tcPr>
          <w:p>
            <w:pPr>
              <w:spacing w:after="40"/>
            </w:pPr>
            <w:r/>
            <w:r>
              <w:rPr>
                <w:rFonts w:ascii="Aptos" w:hAnsi="Aptos"/>
                <w:sz w:val="16"/>
              </w:rPr>
              <w:t>npm run dev</w:t>
            </w:r>
          </w:p>
        </w:tc>
        <w:tc>
          <w:tcPr>
            <w:tcW w:type="dxa" w:w="5112"/>
            <w:vAlign w:val="top"/>
          </w:tcPr>
          <w:p>
            <w:pPr>
              <w:spacing w:after="40"/>
            </w:pPr>
            <w:r/>
            <w:r>
              <w:rPr>
                <w:rFonts w:ascii="Aptos" w:hAnsi="Aptos"/>
                <w:sz w:val="16"/>
              </w:rPr>
              <w:t>Servidor de desarrollo con recarga.</w:t>
            </w:r>
          </w:p>
        </w:tc>
      </w:tr>
      <w:tr>
        <w:tc>
          <w:tcPr>
            <w:tcW w:type="dxa" w:w="5112"/>
            <w:vAlign w:val="top"/>
          </w:tcPr>
          <w:p>
            <w:pPr>
              <w:spacing w:after="40"/>
            </w:pPr>
            <w:r/>
            <w:r>
              <w:rPr>
                <w:rFonts w:ascii="Aptos" w:hAnsi="Aptos"/>
                <w:sz w:val="16"/>
              </w:rPr>
              <w:t>npm run build</w:t>
            </w:r>
          </w:p>
        </w:tc>
        <w:tc>
          <w:tcPr>
            <w:tcW w:type="dxa" w:w="5112"/>
            <w:vAlign w:val="top"/>
          </w:tcPr>
          <w:p>
            <w:pPr>
              <w:spacing w:after="40"/>
            </w:pPr>
            <w:r/>
            <w:r>
              <w:rPr>
                <w:rFonts w:ascii="Aptos" w:hAnsi="Aptos"/>
                <w:sz w:val="16"/>
              </w:rPr>
              <w:t>Compila TypeScript a dist/.</w:t>
            </w:r>
          </w:p>
        </w:tc>
      </w:tr>
      <w:tr>
        <w:tc>
          <w:tcPr>
            <w:tcW w:type="dxa" w:w="5112"/>
            <w:vAlign w:val="top"/>
          </w:tcPr>
          <w:p>
            <w:pPr>
              <w:spacing w:after="40"/>
            </w:pPr>
            <w:r/>
            <w:r>
              <w:rPr>
                <w:rFonts w:ascii="Aptos" w:hAnsi="Aptos"/>
                <w:sz w:val="16"/>
              </w:rPr>
              <w:t>npm start</w:t>
            </w:r>
          </w:p>
        </w:tc>
        <w:tc>
          <w:tcPr>
            <w:tcW w:type="dxa" w:w="5112"/>
            <w:vAlign w:val="top"/>
          </w:tcPr>
          <w:p>
            <w:pPr>
              <w:spacing w:after="40"/>
            </w:pPr>
            <w:r/>
            <w:r>
              <w:rPr>
                <w:rFonts w:ascii="Aptos" w:hAnsi="Aptos"/>
                <w:sz w:val="16"/>
              </w:rPr>
              <w:t>Ejecuta dist/server.js.</w:t>
            </w:r>
          </w:p>
        </w:tc>
      </w:tr>
      <w:tr>
        <w:tc>
          <w:tcPr>
            <w:tcW w:type="dxa" w:w="5112"/>
            <w:vAlign w:val="top"/>
          </w:tcPr>
          <w:p>
            <w:pPr>
              <w:spacing w:after="40"/>
            </w:pPr>
            <w:r/>
            <w:r>
              <w:rPr>
                <w:rFonts w:ascii="Aptos" w:hAnsi="Aptos"/>
                <w:sz w:val="16"/>
              </w:rPr>
              <w:t>npm run typecheck, npm run lint, npm test</w:t>
            </w:r>
          </w:p>
        </w:tc>
        <w:tc>
          <w:tcPr>
            <w:tcW w:type="dxa" w:w="5112"/>
            <w:vAlign w:val="top"/>
          </w:tcPr>
          <w:p>
            <w:pPr>
              <w:spacing w:after="40"/>
            </w:pPr>
            <w:r/>
            <w:r>
              <w:rPr>
                <w:rFonts w:ascii="Aptos" w:hAnsi="Aptos"/>
                <w:sz w:val="16"/>
              </w:rPr>
              <w:t>Tipos, ESLint y pruebas unitarias.</w:t>
            </w:r>
          </w:p>
        </w:tc>
      </w:tr>
      <w:tr>
        <w:tc>
          <w:tcPr>
            <w:tcW w:type="dxa" w:w="5112"/>
            <w:vAlign w:val="top"/>
          </w:tcPr>
          <w:p>
            <w:pPr>
              <w:spacing w:after="40"/>
            </w:pPr>
            <w:r/>
            <w:r>
              <w:rPr>
                <w:rFonts w:ascii="Aptos" w:hAnsi="Aptos"/>
                <w:sz w:val="16"/>
              </w:rPr>
              <w:t>npm run oauth:callbacks</w:t>
            </w:r>
          </w:p>
        </w:tc>
        <w:tc>
          <w:tcPr>
            <w:tcW w:type="dxa" w:w="5112"/>
            <w:vAlign w:val="top"/>
          </w:tcPr>
          <w:p>
            <w:pPr>
              <w:spacing w:after="40"/>
            </w:pPr>
            <w:r/>
            <w:r>
              <w:rPr>
                <w:rFonts w:ascii="Aptos" w:hAnsi="Aptos"/>
                <w:sz w:val="16"/>
              </w:rPr>
              <w:t>Muestra callbacks de proveedores según BACKEND_URL.</w:t>
            </w:r>
          </w:p>
        </w:tc>
      </w:tr>
      <w:tr>
        <w:tc>
          <w:tcPr>
            <w:tcW w:type="dxa" w:w="5112"/>
            <w:vAlign w:val="top"/>
          </w:tcPr>
          <w:p>
            <w:pPr>
              <w:spacing w:after="40"/>
            </w:pPr>
            <w:r/>
            <w:r>
              <w:rPr>
                <w:rFonts w:ascii="Aptos" w:hAnsi="Aptos"/>
                <w:sz w:val="16"/>
              </w:rPr>
              <w:t>npm run db:check, npm run db:audit:readonly</w:t>
            </w:r>
          </w:p>
        </w:tc>
        <w:tc>
          <w:tcPr>
            <w:tcW w:type="dxa" w:w="5112"/>
            <w:vAlign w:val="top"/>
          </w:tcPr>
          <w:p>
            <w:pPr>
              <w:spacing w:after="40"/>
            </w:pPr>
            <w:r/>
            <w:r>
              <w:rPr>
                <w:rFonts w:ascii="Aptos" w:hAnsi="Aptos"/>
                <w:sz w:val="16"/>
              </w:rPr>
              <w:t>Verificaciones de base/SQL de solo lectura.</w:t>
            </w:r>
          </w:p>
        </w:tc>
      </w:tr>
    </w:tbl>
    <w:p>
      <w:pPr>
        <w:spacing w:after="0"/>
      </w:pPr>
    </w:p>
    <w:p>
      <w:pPr>
        <w:widowControl/>
      </w:pPr>
      <w:r>
        <w:t>El paquete además define varios comandos de migración, bootstrap, semillas, creación/promoción de administradores y pruebas con DB. Revisar backend/package.json antes de invocarlos; algunos modifican datos/esquema.</w:t>
      </w:r>
    </w:p>
    <w:p>
      <w:pPr>
        <w:pStyle w:val="Heading1"/>
      </w:pPr>
      <w:r>
        <w:t>5. Arrancar frontend</w:t>
      </w:r>
    </w:p>
    <w:p>
      <w:pPr>
        <w:widowControl/>
      </w:pPr>
      <w:r>
        <w:t>Configurar mobile/.env:</w:t>
      </w:r>
    </w:p>
    <w:p>
      <w:pPr>
        <w:spacing w:after="140"/>
        <w:ind w:left="173"/>
        <w:shd w:fill="F1F5F7"/>
      </w:pPr>
      <w:r>
        <w:rPr>
          <w:rFonts w:ascii="Consolas" w:hAnsi="Consolas"/>
          <w:color w:val="28373E"/>
          <w:sz w:val="15"/>
        </w:rPr>
        <w:t>EXPO_PUBLIC_API_URL=http://localhost:3000/api</w:t>
      </w:r>
    </w:p>
    <w:p>
      <w:pPr>
        <w:widowControl/>
      </w:pPr>
      <w:r>
        <w:t>Para Android Emulator usar normalmente http://10.0.2.2:3000/api; para teléfono físico use la IP LAN de la computadora y asegúrese de que el firewall permita el puerto. En producción, mobile/eas.json define la API pública HTTPS. EXPO_PUBLIC_* queda incorporada al bundle y nunca debe contener secretos.</w:t>
      </w:r>
    </w:p>
    <w:p>
      <w:pPr>
        <w:spacing w:after="140"/>
        <w:ind w:left="173"/>
        <w:shd w:fill="F1F5F7"/>
      </w:pPr>
      <w:r>
        <w:rPr>
          <w:rFonts w:ascii="Consolas" w:hAnsi="Consolas"/>
          <w:color w:val="28373E"/>
          <w:sz w:val="15"/>
        </w:rPr>
        <w:t>cd mobile</w:t>
      </w:r>
      <w:r>
        <w:br/>
      </w:r>
      <w:r>
        <w:rPr>
          <w:rFonts w:ascii="Consolas" w:hAnsi="Consolas"/>
          <w:color w:val="28373E"/>
          <w:sz w:val="15"/>
        </w:rPr>
        <w:t>npm start</w:t>
      </w:r>
      <w:r>
        <w:br/>
      </w:r>
      <w:r>
        <w:rPr>
          <w:rFonts w:ascii="Consolas" w:hAnsi="Consolas"/>
          <w:color w:val="28373E"/>
          <w:sz w:val="15"/>
        </w:rPr>
        <w:t>npm run web</w:t>
      </w:r>
      <w:r>
        <w:br/>
      </w:r>
      <w:r>
        <w:rPr>
          <w:rFonts w:ascii="Consolas" w:hAnsi="Consolas"/>
          <w:color w:val="28373E"/>
          <w:sz w:val="15"/>
        </w:rPr>
        <w:t>npm run android</w:t>
      </w:r>
    </w:p>
    <w:p>
      <w:pPr>
        <w:widowControl/>
      </w:pPr>
      <w:r>
        <w:t>npm run android usa el flujo nativo local y requiere Android Studio/SDK. El backend debe aceptar el origen web local y el teléfono/emulador debe poder alcanzar su host.</w:t>
      </w:r>
    </w:p>
    <w:p>
      <w:pPr>
        <w:pStyle w:val="Heading1"/>
      </w:pPr>
      <w:r>
        <w:t>6. Login y OAuth externo</w:t>
      </w:r>
    </w:p>
    <w:p>
      <w:pPr>
        <w:widowControl/>
      </w:pPr>
      <w:r>
        <w:t>El login JWT tradicional usa POST /api/auth/login; el frontend conserva la sesión en almacenamiento seguro nativo y sessionStorage web. La expiración requiere renovar o volver a autenticarse. La app no guarda contraseña.</w:t>
      </w:r>
    </w:p>
    <w:p>
      <w:pPr>
        <w:widowControl/>
      </w:pPr>
      <w:r>
        <w:t>Para Google, Facebook y X:</w:t>
      </w:r>
    </w:p>
    <w:p>
      <w:pPr>
        <w:pStyle w:val="ListNumber"/>
      </w:pPr>
      <w:r>
        <w:t>Configure la app OAuth web en la consola del proveedor y habilite el flujo solicitado por su producto.</w:t>
      </w:r>
    </w:p>
    <w:p>
      <w:pPr>
        <w:pStyle w:val="ListNumber"/>
      </w:pPr>
      <w:r>
        <w:t>En backend, ponga los client ID/secret privados y BACKEND_URL (origen sin /api).</w:t>
      </w:r>
    </w:p>
    <w:p>
      <w:pPr>
        <w:pStyle w:val="ListNumber"/>
      </w:pPr>
      <w:r>
        <w:t>Configure OAUTH_RETURN_URLS con los destinos finales permitidos, como la página web /oauth y el esquema nativo petcare://oauth según el entorno.</w:t>
      </w:r>
    </w:p>
    <w:p>
      <w:pPr>
        <w:pStyle w:val="ListNumber"/>
      </w:pPr>
      <w:r>
        <w:t>Ejecute npm run oauth:callbacks desde backend/ y copie el callback HTTPS exacto mostrado al portal del proveedor: /api/auth/oauth/{provider}/callback.</w:t>
      </w:r>
    </w:p>
    <w:p>
      <w:pPr>
        <w:pStyle w:val="ListNumber"/>
      </w:pPr>
      <w:r>
        <w:t>Verifique dominio, URI de retorno, modo de publicación y permisos en la cuenta de desarrollador externa.</w:t>
      </w:r>
    </w:p>
    <w:p>
      <w:pPr>
        <w:widowControl/>
      </w:pPr>
      <w:r>
        <w:t>Google y X usan PKCE; Facebook usa el flujo configurado en backend. PetCare no vincula automáticamente identidades porque compartan email y exige verificar correo para altas que lo requieran. X no entrega email en el flujo descrito por el código. No coloque secretos OAuth en Expo, mobile/.env, EXPO_PUBLIC_* o el repositorio.</w:t>
      </w:r>
    </w:p>
    <w:p>
      <w:pPr>
        <w:pStyle w:val="Heading1"/>
      </w:pPr>
      <w:r>
        <w:t>7. SMTP y notificaciones</w:t>
      </w:r>
    </w:p>
    <w:p>
      <w:pPr>
        <w:widowControl/>
      </w:pPr>
      <w:r>
        <w:t>El correo de verificación, invitación y recuperación depende de un relay SMTP alcanzable, credenciales activas, remitente autorizado y URLs frontend válidas. SMTP_SECURE y SMTP_REQUIRE_TLS deben coincidir con el proveedor SMTP. Revise los logs del proveedor y la carpeta de spam; el endpoint público no debe usarse para inferir si una cuenta existe.</w:t>
      </w:r>
    </w:p>
    <w:p>
      <w:pPr>
        <w:widowControl/>
      </w:pPr>
      <w:r>
        <w:t>Las push Android requieren configuración nativa Expo/FCM y credenciales en EAS, permiso del dispositivo, token registrado y API alcanzable. Expo Go no admite push remoto en Android. El centro de notificaciones web consulta la API, pero no usa Web Push. GET /api/cron/notifications está programado diariamente a las 03:00 UTC por backend/vercel.json; Vercel debe usar backend como Root Directory y tener CRON_SECRET. Las pruebas locales no confirman entrega real.</w:t>
      </w:r>
    </w:p>
    <w:p>
      <w:pPr>
        <w:pStyle w:val="Heading1"/>
      </w:pPr>
      <w:r>
        <w:t>8. Despliegue Vercel</w:t>
      </w:r>
    </w:p>
    <w:p>
      <w:pPr>
        <w:widowControl/>
      </w:pPr>
      <w:r>
        <w:t>El repositorio contiene backend/vercel.json con el cron de notificaciones y mobile/vercel.json para cabeceras web. En Vercel, configure dos proyectos con Root Directory apropiado (backend y mobile) si se despliegan por separado. Revise los comandos de build y dependencias antes de cada deploy.</w:t>
      </w:r>
    </w:p>
    <w:p>
      <w:pPr>
        <w:widowControl/>
      </w:pPr>
      <w:r>
        <w:t>En backend configure variables de DB, JWT, CORS, SMTP, URLs, OAuth, almacenamiento y cron según las funciones habilitadas. Use URL HTTPS pública y CORS con orígenes web exactos. Nunca configure las credenciales privadas en el proyecto frontend. En mobile defina únicamente EXPO_PUBLIC_API_URL para la API correspondiente.</w:t>
      </w:r>
    </w:p>
    <w:p>
      <w:pPr>
        <w:widowControl/>
      </w:pPr>
      <w:r>
        <w:t>No despliegue desde esta guía sin comprobar credenciales y entorno Vercel reales. Las credenciales de proveedor, dominios y publicación se administran en sus consolas externas.</w:t>
      </w:r>
    </w:p>
    <w:p>
      <w:pPr>
        <w:pStyle w:val="Heading1"/>
      </w:pPr>
      <w:r>
        <w:t>9. Expo y APK con EAS</w:t>
      </w:r>
    </w:p>
    <w:p>
      <w:pPr>
        <w:widowControl/>
      </w:pPr>
      <w:r>
        <w:t>mobile/app.json configura Expo Router, esquema petcare, notificaciones, SecureStore, selector de imágenes, paquete Android com.anonymous.petcare y Project ID EAS. mobile/eas.json define perfiles development (development client APK), preview (APK interno), production (distribución de producción habitual) y production-apk (APK instalable).</w:t>
      </w:r>
    </w:p>
    <w:p>
      <w:pPr>
        <w:widowControl/>
      </w:pPr>
      <w:r>
        <w:t>Desde mobile/:</w:t>
      </w:r>
    </w:p>
    <w:p>
      <w:pPr>
        <w:spacing w:after="140"/>
        <w:ind w:left="173"/>
        <w:shd w:fill="F1F5F7"/>
      </w:pPr>
      <w:r>
        <w:rPr>
          <w:rFonts w:ascii="Consolas" w:hAnsi="Consolas"/>
          <w:color w:val="28373E"/>
          <w:sz w:val="15"/>
        </w:rPr>
        <w:t>npx eas-cli@latest login</w:t>
      </w:r>
      <w:r>
        <w:br/>
      </w:r>
      <w:r>
        <w:rPr>
          <w:rFonts w:ascii="Consolas" w:hAnsi="Consolas"/>
          <w:color w:val="28373E"/>
          <w:sz w:val="15"/>
        </w:rPr>
        <w:t>npx eas-cli@latest build --platform android --profile development</w:t>
      </w:r>
      <w:r>
        <w:br/>
      </w:r>
      <w:r>
        <w:rPr>
          <w:rFonts w:ascii="Consolas" w:hAnsi="Consolas"/>
          <w:color w:val="28373E"/>
          <w:sz w:val="15"/>
        </w:rPr>
        <w:t>npx eas-cli@latest build --platform android --profile preview</w:t>
      </w:r>
      <w:r>
        <w:br/>
      </w:r>
      <w:r>
        <w:rPr>
          <w:rFonts w:ascii="Consolas" w:hAnsi="Consolas"/>
          <w:color w:val="28373E"/>
          <w:sz w:val="15"/>
        </w:rPr>
        <w:t>npx eas-cli@latest build --platform android --profile production-apk</w:t>
      </w:r>
    </w:p>
    <w:p>
      <w:pPr>
        <w:widowControl/>
      </w:pPr>
      <w:r>
        <w:t>Development build requiere npx expo start --dev-client para servir el bundle. Preview y production-apk usan API HTTPS declarada en el perfil; compruebe que sea la API deseada. Para tienda Google Play use el perfil que genera el formato configurado para distribución de producción. Instalar EAS CLI mediante npx no añade dependencia al proyecto.</w:t>
      </w:r>
    </w:p>
    <w:p>
      <w:pPr>
        <w:widowControl/>
      </w:pPr>
      <w:r>
        <w:t>Expo Go sirve para desarrollo compatible de pantallas y login tradicional, pero no reproduce el esquema nativo OAuth de PetCare ni push remoto Android. Para esas capacidades use development build/APK propio.</w:t>
      </w:r>
    </w:p>
    <w:p>
      <w:pPr>
        <w:pStyle w:val="Heading1"/>
      </w:pPr>
      <w:r>
        <w:t>10. Verificación integral</w:t>
      </w:r>
    </w:p>
    <w:p>
      <w:pPr>
        <w:pStyle w:val="ListNumber"/>
      </w:pPr>
      <w:r>
        <w:t>GET /api/health devuelve success: true.</w:t>
      </w:r>
    </w:p>
    <w:p>
      <w:pPr>
        <w:pStyle w:val="ListNumber"/>
      </w:pPr>
      <w:r>
        <w:t>GET /api/health/database devuelve resultado saludable.</w:t>
      </w:r>
    </w:p>
    <w:p>
      <w:pPr>
        <w:pStyle w:val="ListNumber"/>
      </w:pPr>
      <w:r>
        <w:t>Abra frontend y confirme URL de API en Network/logs sin exponer secretos.</w:t>
      </w:r>
    </w:p>
    <w:p>
      <w:pPr>
        <w:pStyle w:val="ListNumber"/>
      </w:pPr>
      <w:r>
        <w:t>Registre una cuenta de prueba, verifique el correo con SMTP y haga login.</w:t>
      </w:r>
    </w:p>
    <w:p>
      <w:pPr>
        <w:pStyle w:val="ListNumber"/>
      </w:pPr>
      <w:r>
        <w:t>Compruebe /auth/me, permisos, perfil y rutas del rol correspondiente.</w:t>
      </w:r>
    </w:p>
    <w:p>
      <w:pPr>
        <w:pStyle w:val="ListNumber"/>
      </w:pPr>
      <w:r>
        <w:t>Pruebe una operación de lectura POST con JSON y una escritura permitida; confirme ownership.</w:t>
      </w:r>
    </w:p>
    <w:p>
      <w:pPr>
        <w:pStyle w:val="ListNumber"/>
      </w:pPr>
      <w:r>
        <w:t>Si está configurado, pruebe OAuth, fotos, correo, cron y push con cuentas/dispositivos controlados.</w:t>
      </w:r>
    </w:p>
    <w:p>
      <w:pPr>
        <w:pStyle w:val="ListNumber"/>
      </w:pPr>
      <w:r>
        <w:t>Desde backend/ y mobile/, los comandos de verificación disponibles son npm run typecheck, npm run lint y npm test.</w:t>
      </w:r>
    </w:p>
    <w:p>
      <w:pPr>
        <w:pStyle w:val="Heading1"/>
      </w:pPr>
      <w:r>
        <w:t>11. Problemas frecuentes</w:t>
      </w:r>
    </w:p>
    <w:p>
      <w:pPr>
        <w:pStyle w:val="ListBullet"/>
      </w:pPr>
      <w:r>
        <w:t>API no responde desde móvil: localhost del teléfono no es la computadora; use IP LAN, emulador 10.0.2.2, puerto abierto y misma red.</w:t>
      </w:r>
    </w:p>
    <w:p>
      <w:pPr>
        <w:pStyle w:val="ListBullet"/>
      </w:pPr>
      <w:r>
        <w:t>DB timeout/TLS: confirme host/puerto allowlist, TLS, usuario, contraseña y DB_SSL_MODE; pruebe /api/health/database.</w:t>
      </w:r>
    </w:p>
    <w:p>
      <w:pPr>
        <w:pStyle w:val="ListBullet"/>
      </w:pPr>
      <w:r>
        <w:t>Login 503: JWT_ACCESS_SECRET ausente/corto o configuración de token inválida; use secreto aleatorio de 32 bytes mínimo.</w:t>
      </w:r>
    </w:p>
    <w:p>
      <w:pPr>
        <w:pStyle w:val="ListBullet"/>
      </w:pPr>
      <w:r>
        <w:t>CORS web: agregue el origen HTTPS exacto, sin ruta ni slash final, a CORS_ALLOWED_ORIGINS y reinicie/redeploy.</w:t>
      </w:r>
    </w:p>
    <w:p>
      <w:pPr>
        <w:pStyle w:val="ListBullet"/>
      </w:pPr>
      <w:r>
        <w:t>404 al hacer GET de una consulta: las lecturas internas migradas son POST; use la ruta y body que figuran en docs/DOCUMENTACION_API.md.</w:t>
      </w:r>
    </w:p>
    <w:p>
      <w:pPr>
        <w:pStyle w:val="ListBullet"/>
      </w:pPr>
      <w:r>
        <w:t>OAuth vuelve a error: verifique callback del proveedor carácter por carácter, BACKEND_URL, retorno permitido y variables privadas de ese proveedor.</w:t>
      </w:r>
    </w:p>
    <w:p>
      <w:pPr>
        <w:pStyle w:val="ListBullet"/>
      </w:pPr>
      <w:r>
        <w:t>SMTP sin correo: revise host/puerto/TLS, autenticación, remitente y logs de entrega del proveedor.</w:t>
      </w:r>
    </w:p>
    <w:p>
      <w:pPr>
        <w:pStyle w:val="ListBullet"/>
      </w:pPr>
      <w:r>
        <w:t>Expo Go no abre login social/push: es una limitación del cliente genérico; genere development build con EAS y credenciales nativas.</w:t>
      </w:r>
    </w:p>
    <w:p>
      <w:pPr>
        <w:pStyle w:val="ListBullet"/>
      </w:pPr>
      <w:r>
        <w:t>EAS/APK llega a API equivocada: revise EXPO_PUBLIC_API_URL en el perfil/entorno EAS y cree un build nuevo.</w:t>
      </w:r>
    </w:p>
    <w:p>
      <w:pPr>
        <w:pStyle w:val="ListBullet"/>
      </w:pPr>
      <w:r>
        <w:t>Foto/comprobante rechazado: formato MIME soportado, base64/archivo no corrupto y límite 8 MB para fotos (5 MB comprobantes).</w:t>
      </w:r>
    </w:p>
    <w:p>
      <w:pPr>
        <w:pStyle w:val="ListBullet"/>
      </w:pPr>
      <w:r>
        <w:t>Ruta o permiso denegado: confirme método, prefijo /api, rol y grants vigentes en MySQL; ocultar una pantalla no sustituye autorización del backend.</w:t>
      </w:r>
    </w:p>
    <w:p>
      <w:pPr>
        <w:widowControl/>
      </w:pPr>
      <w:r>
        <w:t>Para el diagnóstico ampliado consulte docs/ERRORES_Y_SOLUCIONES.md y la API actual en docs/DOCUMENTACION_API.md.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70"/>
        <w:sz w:val="16"/>
      </w:rPr>
      <w:t xml:space="preserve">PetCare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A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173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Instalación y Configuración de PetCare</dc:title>
  <dc:subject>Documentación de PetCare basada en el código actual</dc:subject>
  <dc:creator>PetCare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