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Documentación Completa de la API de PetCare</w:t>
      </w:r>
    </w:p>
    <w:p>
      <w:pPr>
        <w:spacing w:after="280"/>
      </w:pPr>
      <w:r>
        <w:rPr>
          <w:i/>
          <w:color w:val="55636C"/>
          <w:sz w:val="18"/>
        </w:rPr>
        <w:t>Referencia de trabajo para instalación e integración con base en el código vigente del repositorio.</w:t>
      </w:r>
    </w:p>
    <w:p>
      <w:pPr>
        <w:pStyle w:val="Heading1"/>
      </w:pPr>
      <w:r>
        <w:t>Contenido</w:t>
      </w:r>
    </w:p>
    <w:p>
      <w:pPr>
        <w:spacing w:after="240"/>
      </w:pPr>
      <w:r>
        <w:rPr>
          <w:sz w:val="17"/>
        </w:rPr>
        <w:t>Convenciones  •  Resumen verificado de métodos  •  Rutas públicas e infraestructura  •  Autenticación, registro y OAuth — `/api/auth`  •  Área personal — `/api/client`  •  Clínica compartida — `/api/clinic`  •  Administración — `/api/admin`  •  Administración veterinaria — `/api/admin/veterinarians`, `/api/admin/specialties`  •  Panel veterinario — `/api/vet`  •  Invitaciones  •  Códigos de error comunes  •  Qué se verificó y qué debe consultarse antes de integrar</w:t>
      </w:r>
    </w:p>
    <w:p>
      <w:pPr>
        <w:widowControl/>
      </w:pPr>
      <w:r>
        <w:t>Referencia de la API Express actual. Las rutas se contrastaron con backend/src/app.ts, backend/src/routes/*.routes.ts, controladores, servicios y middleware. La URL base local es http://localhost:3000/api; en producción se usa el host configurado para el backend seguido de /api.</w:t>
      </w:r>
    </w:p>
    <w:p>
      <w:pPr>
        <w:pStyle w:val="Heading1"/>
      </w:pPr>
      <w:r>
        <w:t>Convenciones</w:t>
      </w:r>
    </w:p>
    <w:p>
      <w:pPr>
        <w:pStyle w:val="ListBullet"/>
      </w:pPr>
      <w:r>
        <w:t>Las respuestas exitosas usan { "success": true, "data": ... }. Salvo donde se indica, las lecturas individuales y las operaciones de actualización responden 200; las creaciones declaradas con estado explícito responden 201.</w:t>
      </w:r>
    </w:p>
    <w:p>
      <w:pPr>
        <w:pStyle w:val="ListBullet"/>
      </w:pPr>
      <w:r>
        <w:t>Los errores usan { "success": false, "error": { "code": "...", "message": "..." } }. Errores de validación también pueden incluir errors; verificación puede incluir verification.</w:t>
      </w:r>
    </w:p>
    <w:p>
      <w:pPr>
        <w:pStyle w:val="ListBullet"/>
      </w:pPr>
      <w:r>
        <w:t>Las rutas protegidas usan Authorization: Bearer &lt;accessToken&gt;. El access token es JWT de corta duración (por defecto 900 segundos); /auth/refresh trabaja con la sesión de refresh administrada por la capa de autenticación.</w:t>
      </w:r>
    </w:p>
    <w:p>
      <w:pPr>
        <w:pStyle w:val="ListBullet"/>
      </w:pPr>
      <w:r>
        <w:t>Las lecturas internas usan POST y reciben filtros en JSON. Un POST de lectura no muta datos. Los IDs y discriminadores se envían en la ruta. Las rutas */query separan lecturas de colecciones de POST de creación.</w:t>
      </w:r>
    </w:p>
    <w:p>
      <w:pPr>
        <w:pStyle w:val="ListBullet"/>
      </w:pPr>
      <w:r>
        <w:t>JSON salvo POST /client/payment-intents/:id/proof, que recibe el archivo sin JSON: image/jpeg, image/png, image/webp o application/pdf; hasta 5 MB y el encabezado opcional X-Payment-Reference.</w:t>
      </w:r>
    </w:p>
    <w:p>
      <w:pPr>
        <w:pStyle w:val="ListBullet"/>
      </w:pPr>
      <w:r>
        <w:t>La API no admite las antiguas variantes GET de lectura interna. El cliente debe actualizarse en conjunto.</w:t>
      </w:r>
    </w:p>
    <w:p>
      <w:pPr>
        <w:pStyle w:val="Heading1"/>
      </w:pPr>
      <w:r>
        <w:t>Resumen verificado de métodos</w:t>
      </w:r>
    </w:p>
    <w:p>
      <w:pPr>
        <w:widowControl/>
      </w:pPr>
      <w:r>
        <w:t>El inventario actual contiene 144 rutas accesibles: 96 POST, 20 PUT, 18 PATCH, 4 DELETE y 6 GET. El router de aceptación de invitaciones se monta en dos prefijos y por eso una declaración POST produce dos URLs accesibles. Las 6 rutas GET corresponden a health, health de DB, información pública, callback OAuth, cron y recurso de imagen privada. request.get('authorization') solo lee un encabezado, no registra una ruta.</w:t>
      </w:r>
    </w:p>
    <w:p>
      <w:pPr>
        <w:widowControl/>
      </w:pPr>
      <w:r>
        <w:t>La nota histórica docs/api-read-post-migration.md describe 68 lecturas GET antes de migrar, de las cuales 62 se movieron a POST. La aplicación actual conserva 6 rutas GET funcionales. No se encontraron rutas antiguas GET de lectura de cliente, clínica, administración, veterinaria o auth/me registradas en Express.</w:t>
      </w:r>
    </w:p>
    <w:p>
      <w:pPr>
        <w:pStyle w:val="Heading1"/>
      </w:pPr>
      <w:r>
        <w:t>Rutas públicas e infraestructura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Método y ruta</w:t>
            </w:r>
          </w:p>
        </w:tc>
        <w:tc>
          <w:tcPr>
            <w:tcW w:type="dxa" w:w="4752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Acceso y parámetros</w:t>
            </w:r>
          </w:p>
        </w:tc>
        <w:tc>
          <w:tcPr>
            <w:tcW w:type="dxa" w:w="4752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/ errores relevantes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GET /api/health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Público; sin parámetros.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Estado de proceso. 200; no verifica MariaDB.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GET /api/health/database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Público; sin parámetros.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Comprueba conectividad SQL. Error de DB traducido por el middleware.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GET /api/settings/general-information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Público; caché pública 300 s.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Información general publicada; no expone datos de administración.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GET /api/auth/oauth/:provider/callback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Redirección del proveedor OAuth. provider: google, facebook o x; query de OAuth code, state y/o error.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Redirige al destino permitido de PetCare. Errores OAuth se expresan en el retorno; no es una lectura de API para clientes.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GET /api/cron/notifications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Header Authorization con Bearer &lt;CRON_SECRET&gt;; Vercel Cron.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Ejecuta procesamiento de notificaciones. 503 NOTIFICATION_JOB_UNAVAILABLE si falta secreto de al menos 32 bytes; 401 AUTH_REQUIRED si no coincide.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GET /media/pets/:id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JWT + acceso personal + límite de tasa; id numérico de mascota propia.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Devuelve URL autorizada {url} con Cache-Control: no-store; no acepta una clave de almacenamiento arbitraria.</w:t>
            </w:r>
          </w:p>
        </w:tc>
      </w:tr>
    </w:tbl>
    <w:p>
      <w:pPr>
        <w:spacing w:after="0"/>
      </w:pPr>
    </w:p>
    <w:p>
      <w:pPr>
        <w:widowControl/>
      </w:pPr>
      <w:r>
        <w:t>Ejemplo de health:</w:t>
      </w:r>
    </w:p>
    <w:p>
      <w:pPr>
        <w:spacing w:after="140"/>
        <w:ind w:left="173"/>
        <w:shd w:fill="F1F5F7"/>
      </w:pPr>
      <w:r>
        <w:rPr>
          <w:rFonts w:ascii="Consolas" w:hAnsi="Consolas"/>
          <w:color w:val="28373E"/>
          <w:sz w:val="15"/>
        </w:rPr>
        <w:t>GET /api/health</w:t>
      </w:r>
    </w:p>
    <w:p>
      <w:pPr>
        <w:spacing w:after="140"/>
        <w:ind w:left="173"/>
        <w:shd w:fill="F1F5F7"/>
      </w:pPr>
      <w:r>
        <w:rPr>
          <w:rFonts w:ascii="Consolas" w:hAnsi="Consolas"/>
          <w:color w:val="28373E"/>
          <w:sz w:val="15"/>
        </w:rPr>
        <w:t>{"success":true,"data":{"status":"ok","message":"PetCare API funcionando"}}</w:t>
      </w:r>
    </w:p>
    <w:p>
      <w:pPr>
        <w:pStyle w:val="Heading1"/>
      </w:pPr>
      <w:r>
        <w:t>Autenticación, registro y OAuth — /api/auth</w:t>
      </w:r>
    </w:p>
    <w:p>
      <w:pPr>
        <w:widowControl/>
      </w:pPr>
      <w:r>
        <w:t>Registro, login, reset, verificación, invitaciones y OAuth aplican límites de tasa. Las rutas públicas no aceptan role del cliente para conceder privilegios. POST /me exige JWT.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Método y ruta</w:t>
            </w:r>
          </w:p>
        </w:tc>
        <w:tc>
          <w:tcPr>
            <w:tcW w:type="dxa" w:w="4752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Acceso / entrada principal</w:t>
            </w:r>
          </w:p>
        </w:tc>
        <w:tc>
          <w:tcPr>
            <w:tcW w:type="dxa" w:w="4752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Validación y comportamiento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/api/auth/register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Público. JSON: nombre, apellido, email, teléfono opcional y contraseña según formulario.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Valida identidad y política de contraseña; inicia verificación de correo. No envíe confirmación de contraseña ni rol.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/api/auth/login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Público. {email,password}.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Credenciales válidas; una cuenta no verificada requiere completar verificación.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/api/auth/password-reset/request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Público. Email.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Respuesta deliberadamente segura para no revelar si la cuenta existe; envío depende de SMTP y PASSWORD_RESET_URL.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/api/auth/password-reset/confirm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Público. Token/código de recuperación y nueva contraseña.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El token debe estar vigente y ser válido; invalida la credencial anterior según servicio.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/api/auth/change-initial-password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Público con token de invitación/activación.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Cambia contraseña inicial; token inválido, expirado o consumido se rechaza.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/api/auth/verify-email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Público. Email y código de verificación.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Código con vigencia y límites; según origen de cuenta puede devolver sesión o confirmación.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/api/auth/resend-verification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Público. Email y contexto de verificación cuando corresponda.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El código anterior se renueva; sujeto a límite de tasa y envío SMTP.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/api/auth/me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JWT Bearer. Sin body requerido.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Devuelve usuario, rol y permisos efectivos vigentes; 401 ante JWT inválido/expirado.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/api/auth/refresh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Público con credencial de refresh en el contrato de sesión.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Renueva sesión si refresh sigue vigente; límites de tasa.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/api/auth/logout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Público con credencial de refresh para revocarla.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Limpia/revoca sesión de refresh. En cliente, además se elimina almacenamiento local.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/api/auth/oauth/exchange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Público. Ticket temporal de un solo uso.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Canjea ticket por sesión; ticket vencido, repetido o inválido se rechaza.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/api/auth/oauth/register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Público. Datos de alta y prueba de flujo social según proveedor.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Registra cuenta social pendiente de verificación; no vincula usuarios por coincidencia de email.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/api/auth/oauth/:provider/start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Público. provider en ruta; JSON de destino/retorno permitido.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Inicia autorización; Google/X utilizan PKCE; Facebook usa estado y cliente confidencial en backend.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/api/auth/oauth/:provider/link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JWT Bearer. provider en ruta.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Vincula identidad explícitamente con la cuenta activa; no permite apropiarse de otra cuenta por email coincidente.</w:t>
            </w:r>
          </w:p>
        </w:tc>
      </w:tr>
    </w:tbl>
    <w:p>
      <w:pPr>
        <w:spacing w:after="0"/>
      </w:pPr>
    </w:p>
    <w:p>
      <w:pPr>
        <w:widowControl/>
      </w:pPr>
      <w:r>
        <w:t>Las claves concretas de cada DTO se implementan en backend/src/controllers/auth.controller.ts, verification.controller.ts, oauth.controller.ts y los validadores asociados. La API no acepta credenciales OAuth privadas desde la app. Ejemplo de lectura autenticada:</w:t>
      </w:r>
    </w:p>
    <w:p>
      <w:pPr>
        <w:spacing w:after="140"/>
        <w:ind w:left="173"/>
        <w:shd w:fill="F1F5F7"/>
      </w:pPr>
      <w:r>
        <w:rPr>
          <w:rFonts w:ascii="Consolas" w:hAnsi="Consolas"/>
          <w:color w:val="28373E"/>
          <w:sz w:val="15"/>
        </w:rPr>
        <w:t>POST /api/auth/me</w:t>
      </w:r>
      <w:r>
        <w:br/>
      </w:r>
      <w:r>
        <w:rPr>
          <w:rFonts w:ascii="Consolas" w:hAnsi="Consolas"/>
          <w:color w:val="28373E"/>
          <w:sz w:val="15"/>
        </w:rPr>
        <w:t>Authorization: Bearer &lt;accessToken&gt;</w:t>
      </w:r>
      <w:r>
        <w:br/>
      </w:r>
      <w:r>
        <w:rPr>
          <w:rFonts w:ascii="Consolas" w:hAnsi="Consolas"/>
          <w:color w:val="28373E"/>
          <w:sz w:val="15"/>
        </w:rPr>
        <w:t>Content-Type: application/json</w:t>
      </w:r>
      <w:r>
        <w:br/>
      </w:r>
      <w:r>
        <w:rPr>
          <w:rFonts w:ascii="Consolas" w:hAnsi="Consolas"/>
          <w:color w:val="28373E"/>
          <w:sz w:val="15"/>
        </w:rPr>
      </w:r>
      <w:r>
        <w:br/>
      </w:r>
      <w:r>
        <w:rPr>
          <w:rFonts w:ascii="Consolas" w:hAnsi="Consolas"/>
          <w:color w:val="28373E"/>
          <w:sz w:val="15"/>
        </w:rPr>
        <w:t>{}</w:t>
      </w:r>
    </w:p>
    <w:p>
      <w:pPr>
        <w:pStyle w:val="Heading1"/>
      </w:pPr>
      <w:r>
        <w:t>Área personal — /api/client</w:t>
      </w:r>
    </w:p>
    <w:p>
      <w:pPr>
        <w:widowControl/>
      </w:pPr>
      <w:r>
        <w:t>Todas las rutas pasan por JWT y requirePersonalAccess. CLIENT usa su acceso personal; los otros roles requieren los grants personales correspondientes. El backend deriva el propietario del JWT, no de un ownerId enviado por el cliente.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Método y ruta</w:t>
            </w:r>
          </w:p>
        </w:tc>
        <w:tc>
          <w:tcPr>
            <w:tcW w:type="dxa" w:w="4752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Descripción y entrada</w:t>
            </w:r>
          </w:p>
        </w:tc>
        <w:tc>
          <w:tcPr>
            <w:tcW w:type="dxa" w:w="4752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Validaciones / permisos relevantes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/api/client/home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Resumen, próximos turnos, mascotas, destacados y no leídas.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Solo lectura.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/api/client/pets/catalog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Catálogos para mascotas.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Solo lectura.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/api/client/pets/query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Mascotas propias; {includeInactive?: boolean/string}.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Booleano permitido; personal.pets.view.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/api/client/pets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Alta de mascota.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Valida petInput; foto opcional en base64; crea con 201; personal.pets.manage.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/api/client/pets/:id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Detalle de mascota propia.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ID positivo; ownership; personal.pets.view.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PUT /api/client/pets/:id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Actualiza mascota propia.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Campos de petInput; foto propia autorizada; personal.pets.manage.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PATCH /api/client/pets/:id/deactivate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Baja lógica.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ID y ownership; personal.pets.manage.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PATCH /api/client/pets/:id/reactivate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Reactiva mascota.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ID y ownership; personal.pets.manage.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/api/client/appointments/catalog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Catálogo de turnos/servicios.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Lectura; personal.appointments.view.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/api/client/appointments/slots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Busca horarios. {serviceId, veterinarianId?}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IDs positivos; personal.appointments.view.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/api/client/appointments/query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Lista de turnos propios.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Solo lectura; propietario derivado del JWT.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/api/client/appointments/:id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Detalle de turno propio.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ID y ownership; 404 si no pertenece/encontrado.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/api/client/appointments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Solicita turno. {petId,slotId}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IDs válidos y disponibilidad de slot; 201; personal.appointments.create.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/api/client/clinical/:kind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Historial clínico propio; kind: medical-history, vaccines, prescriptions, recommendations; {petId?}.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Kind permitido y mascota propia; solo lectura.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/api/client/store/categories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Categorías públicas.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Solo lectura.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/api/client/store/fulfillment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Opciones públicas de entrega/retiro.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Solo lectura.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/api/client/store/promotions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Promociones activas.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Solo lectura.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/api/client/store/banners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Banners públicos activos.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Solo lectura.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/api/client/store/delivery-quote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Cotiza entrega. {province,city,postalCode,subtotalCents}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Valida ubicación y monto según configuración de tienda.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/api/client/store/addresses/query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Lista direcciones propias.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Propietario del JWT.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/api/client/store/addresses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Guarda una dirección. JSON de dirección.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Validación en delivery-address.repository; 201.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PATCH /api/client/store/addresses/:id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Actualiza dirección propia. JSON de dirección.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ID y ownership.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/api/client/store/products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Busca productos. {search?,categoryId?,productType?}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Tipo permitido: MEDICINE o ACCESSORY; filtros opcionales.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/api/client/store/products/:id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Detalle de producto.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ID positivo.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/api/client/cart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Carrito propio.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Lectura del carrito asociado a la cuenta.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PUT /api/client/cart/:id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Cambia cantidad. {quantity}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Cantidad validada; línea del carrito propia.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/api/client/orders/query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Historial de pedidos propios.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Solo lectura.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/api/client/orders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Checkout de demostración. Ver ejemplo abajo.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Solo si STORE_DEMO_MODE=true; de lo contrario 409 STORE_DEMO_DISABLED. No es un cobro real.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/api/client/orders/bank-transfer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Crea pedido por transferencia. DTO validado por storeTransferInput; 201.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Reglas de checkout, disponibilidad y método; límite de tasa.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/api/client/orders/:id/payment-intents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Renueva intención de pago.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Pedido propio, estado elegible; límite de tasa.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/api/client/payment-intents/:id/proof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Sube comprobante binario. Content-Type PDF/JPEG/PNG/WebP y opcional X-Payment-Reference.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Máximo 5 MB; intención propia; validación MIME, ownership y límite de tasa.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/api/client/orders/:id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Detalle de pedido propio.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ID y ownership.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/api/client/notifications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Bandeja de notificaciones. {cursor?,limit?}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Cursor/limit validados por repositorio.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/api/client/notifications/preferences/query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Preferencias propias.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Solo lectura.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PATCH /api/client/notifications/preferences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Actualiza preferencias. JSON de preferencias.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Se aceptan campos soportados por repositorio.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PATCH /api/client/notifications/read-all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Marca todas como leídas.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Solo notificaciones del usuario.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PATCH /api/client/notifications/:id/read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Marca una como leída.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ID y ownership.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DELETE /api/client/notifications/:id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Oculta una notificación. {}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ID y ownership.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/api/client/notifications/push-token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Registra token Expo del dispositivo. JSON de token/plataforma.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Límite de tasa; token se asocia al usuario autenticado.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/api/client/notifications/push-token/revoke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Revoca token. JSON del token/dispositivo.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Límite de tasa; solo identidad propia.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PATCH /api/client/profile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Actualiza perfil. {firstName,lastName,phone}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Nombre/apellido y teléfono validados.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PUT /api/client/profile/password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Cambia contraseña. {currentPassword,password}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Comprueba contraseña actual y política nueva; límite de tasa.</w:t>
            </w:r>
          </w:p>
        </w:tc>
      </w:tr>
    </w:tbl>
    <w:p>
      <w:pPr>
        <w:spacing w:after="0"/>
      </w:pPr>
    </w:p>
    <w:p>
      <w:pPr>
        <w:widowControl/>
      </w:pPr>
      <w:r>
        <w:t>Ejemplo de lectura filtrada de productos (POST de solo lectura):</w:t>
      </w:r>
    </w:p>
    <w:p>
      <w:pPr>
        <w:spacing w:after="140"/>
        <w:ind w:left="173"/>
        <w:shd w:fill="F1F5F7"/>
      </w:pPr>
      <w:r>
        <w:rPr>
          <w:rFonts w:ascii="Consolas" w:hAnsi="Consolas"/>
          <w:color w:val="28373E"/>
          <w:sz w:val="15"/>
        </w:rPr>
        <w:t>POST /api/client/store/products</w:t>
      </w:r>
      <w:r>
        <w:br/>
      </w:r>
      <w:r>
        <w:rPr>
          <w:rFonts w:ascii="Consolas" w:hAnsi="Consolas"/>
          <w:color w:val="28373E"/>
          <w:sz w:val="15"/>
        </w:rPr>
        <w:t>Authorization: Bearer &lt;accessToken&gt;</w:t>
      </w:r>
      <w:r>
        <w:br/>
      </w:r>
      <w:r>
        <w:rPr>
          <w:rFonts w:ascii="Consolas" w:hAnsi="Consolas"/>
          <w:color w:val="28373E"/>
          <w:sz w:val="15"/>
        </w:rPr>
        <w:t>Content-Type: application/json</w:t>
      </w:r>
      <w:r>
        <w:br/>
      </w:r>
      <w:r>
        <w:rPr>
          <w:rFonts w:ascii="Consolas" w:hAnsi="Consolas"/>
          <w:color w:val="28373E"/>
          <w:sz w:val="15"/>
        </w:rPr>
      </w:r>
      <w:r>
        <w:br/>
      </w:r>
      <w:r>
        <w:rPr>
          <w:rFonts w:ascii="Consolas" w:hAnsi="Consolas"/>
          <w:color w:val="28373E"/>
          <w:sz w:val="15"/>
        </w:rPr>
        <w:t>{"search":"alimento","categoryId":"2","productType":"ACCESSORY"}</w:t>
      </w:r>
    </w:p>
    <w:p>
      <w:pPr>
        <w:widowControl/>
      </w:pPr>
      <w:r>
        <w:t>Ejemplo de checkout de demostración, que solo está habilitado por configuración explícita:</w:t>
      </w:r>
    </w:p>
    <w:p>
      <w:pPr>
        <w:spacing w:after="140"/>
        <w:ind w:left="173"/>
        <w:shd w:fill="F1F5F7"/>
      </w:pPr>
      <w:r>
        <w:rPr>
          <w:rFonts w:ascii="Consolas" w:hAnsi="Consolas"/>
          <w:color w:val="28373E"/>
          <w:sz w:val="15"/>
        </w:rPr>
        <w:t>{"key":"idempotency-key","paymentMethod":"...","fulfillmentMethod":"...","address":{},"paymentReference":""}</w:t>
      </w:r>
    </w:p>
    <w:p>
      <w:pPr>
        <w:widowControl/>
      </w:pPr>
      <w:r>
        <w:t>El contrato exacto y los campos obligatorios se definen en backend/src/validators/store-checkout.validator.ts; consultar esa fuente al integrar un cliente nuevo. La demostración no procesa dinero.</w:t>
      </w:r>
    </w:p>
    <w:p>
      <w:pPr>
        <w:pStyle w:val="Heading1"/>
      </w:pPr>
      <w:r>
        <w:t>Clínica compartida — /api/clinic</w:t>
      </w:r>
    </w:p>
    <w:p>
      <w:pPr>
        <w:widowControl/>
      </w:pPr>
      <w:r>
        <w:t>Todas las rutas requieren JWT. La tabla da el requireRole/permiso explícito en Express; las operaciones y alcances también se verifican en el servicio/repositorio. Roles: CLIENT, VETERINARIAN, GROOMER, SECRETARY, ADMIN, SUPER_ADMIN.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Método y ruta</w:t>
            </w:r>
          </w:p>
        </w:tc>
        <w:tc>
          <w:tcPr>
            <w:tcW w:type="dxa" w:w="4752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Roles y permisos explícitos</w:t>
            </w:r>
          </w:p>
        </w:tc>
        <w:tc>
          <w:tcPr>
            <w:tcW w:type="dxa" w:w="4752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 y parámetros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/api/clinic/home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VETERINARIAN, GROOMER, SECRETARY, ADMIN, SUPER_ADMIN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Panel operativo; {}.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/api/clinic/catalog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CLIENT, VETERINARIAN, GROOMER, SECRETARY, ADMIN, SUPER_ADMIN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Catálogo; {}.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/api/clinic/products/query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VETERINARIAN, SECRETARY, ADMIN, SUPER_ADMIN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Catálogo interno; filtros de producto JSON. Servicio valida permiso efectivo products.view.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/api/clinic/slots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VETERINARIAN, GROOMER, SECRETARY, ADMIN, SUPER_ADMIN + appointments.manage o schedule.manage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Slots por servicio/profesional; filtros JSON.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/api/clinic/appointments/:id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Roles operativos + appointments.view_own o appointments.view_all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Detalle por ID.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/api/clinic/appointments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Roles operativos + appointments.view_own o appointments.view_all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Lista/filtros de turnos JSON.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PATCH /api/clinic/appointments/:id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Roles operativos + appointments.update_own o appointments.manage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Actualiza estado/datos admitidos por la operación; ID en ruta.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/api/clinic/grooming/appointments/:id/record/query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GROOMER + appointments.view_own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Lee ficha de peluquería.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PUT /api/clinic/grooming/appointments/:id/record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GROOMER + appointments.update_own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Guarda ficha de peluquería.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/api/clinic/patients/query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VETERINARIAN, GROOMER, ADMIN, SUPER_ADMIN + pets.view_information o appointments.view_own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Búsqueda de pacientes; filtros JSON.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/api/clinic/patients/:id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Mismos roles y permisos de pacientes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Detalle de paciente.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PATCH /api/clinic/patients/:id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VETERINARIAN, ADMIN, SUPER_ADMIN + pets.update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Actualiza campos clínicos/personales admitidos.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PATCH /api/clinic/patients/:id/deactivate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VETERINARIAN, ADMIN, SUPER_ADMIN + pets.update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Desactiva registro.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/api/clinic/patients/:id/records/:kind/query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VETERINARIAN, ADMIN, SUPER_ADMIN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Lee tipo de registro clínico. Validación de kind en servicio.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/api/clinic/patients/:id/records/:kind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VETERINARIAN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Crea registro clínico (201); límite de tasa; servicio valida tipo, paciente y campos.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/api/clinic/clients/query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VETERINARIAN, SECRETARY, ADMIN, SUPER_ADMIN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Busca clientes; filtros JSON.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/api/clinic/clients/:id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Mismos roles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Detalle de cliente.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/api/clinic/reservations/query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CLIENT, SECRETARY, ADMIN, SUPER_ADMIN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Lee reservas; cliente ve su alcance. Filtros JSON.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/api/clinic/reservations/:id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Mismos roles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Detalle de reserva y ownership.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PATCH /api/clinic/reservations/:id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SECRETARY, ADMIN, SUPER_ADMIN + reservations.manage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Actualiza reserva según transición permitida.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/api/clinic/professionals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professionals.manage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Lista profesionales. {}/filtros admitidos por el handler.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PUT /api/clinic/professionals/:id/type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professionals.manage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Cambia tipo profesional; body validado por operación.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PUT /api/clinic/professionals/:id/services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professionals.manage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Asigna servicios; body con IDs permitidos.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/api/clinic/availability/query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schedule.manage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Consulta disponibilidad; filtros JSON.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/api/clinic/availability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schedule.manage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Crea disponibilidad (201).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PATCH /api/clinic/availability/:kind/:id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schedule.manage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Desactiva entidad de disponibilidad según kind e ID.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/api/clinic/store-fulfillment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store.settings.view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Lee configuración de entrega/retiro. {}.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PUT /api/clinic/store-fulfillment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store.settings.manage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Guarda esa configuración.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/api/clinic/store-banners/query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store.banners.manage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Lista banners. {}.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PUT /api/clinic/store-banners/order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store.banners.manage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Cambia orden; body con IDs/orden.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/api/clinic/store-banners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store.banners.manage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Crea banner (201).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PATCH /api/clinic/store-banners/:id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store.banners.manage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Edita banner.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DELETE /api/clinic/store-banners/:id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store.banners.manage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Elimina banner.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/api/clinic/store-orders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orders.view_all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Lista pedidos; filtros JSON.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/api/clinic/store-orders/:id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orders.view_all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Detalle de pedido.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PATCH /api/clinic/store-orders/:id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orders.manage o orders.payment.manage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Actualiza pedido según transición y permiso.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/api/clinic/store-orders/:id/proof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SUPER_ADMIN + orders.payment.manage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Lee comprobante asociado al pedido.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/api/clinic/store-orders/:id/payment-review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SUPER_ADMIN + orders.payment.manage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Revisa/aprueba/rechaza pago; body de decisión validado por operación.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/api/clinic/admin/:kind/query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JWT; permiso/grant depende de catálogo kind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Lista catálogo de administración; filtros JSON. El repositorio valida rol, permiso y entidad.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/api/clinic/admin/:kind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JWT; permiso/grant depende de kind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Crea elemento (201); límite de tasa y validación del tipo.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PATCH /api/clinic/admin/:kind/:id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JWT; permiso/grant depende de kind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Actualiza elemento.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DELETE /api/clinic/admin/:kind/:id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JWT; permiso/grant depende de kind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Elimina/desactiva según catálogo; restricciones relacionales.</w:t>
            </w:r>
          </w:p>
        </w:tc>
      </w:tr>
    </w:tbl>
    <w:p>
      <w:pPr>
        <w:spacing w:after="0"/>
      </w:pPr>
    </w:p>
    <w:p>
      <w:pPr>
        <w:widowControl/>
      </w:pPr>
      <w:r>
        <w:t>Las rutas POST de catálogo/consulta no escriben. Para nombres de campos concretos, la fuente ejecutable es backend/src/controllers/clinic.controller.ts y backend/src/repositories/clinic.repository.ts; los cuerpos no deben ampliarse suponiendo que el repositorio acepte campos arbitrarios.</w:t>
      </w:r>
    </w:p>
    <w:p>
      <w:pPr>
        <w:pStyle w:val="Heading1"/>
      </w:pPr>
      <w:r>
        <w:t>Administración — /api/admin</w:t>
      </w:r>
    </w:p>
    <w:p>
      <w:pPr>
        <w:widowControl/>
      </w:pPr>
      <w:r>
        <w:t>Todas las rutas de este router requieren JWT. Las operaciones restringidas requieren además el rol indicado y permisos efectivos cargados del catálogo MySQL.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Método y ruta</w:t>
            </w:r>
          </w:p>
        </w:tc>
        <w:tc>
          <w:tcPr>
            <w:tcW w:type="dxa" w:w="4752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Roles/permisos</w:t>
            </w:r>
          </w:p>
        </w:tc>
        <w:tc>
          <w:tcPr>
            <w:tcW w:type="dxa" w:w="4752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Entrada y resultado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/api/admin/home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Dashboard. {}.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/api/admin/general-information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settings.general.manage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Consulta configuración general.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PUT /api/admin/general-information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Mismos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Guarda configuración; body según campos de información general.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PUT /api/admin/account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Actualiza perfil propio.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PUT /api/admin/account/password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{currentPassword,password}; límite de tasa.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/api/admin/catalog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uno de users.manage, roles.manage, permissions.manage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Catálogos administrativos.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/api/admin/users/query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users.manage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Filtros JSON: búsqueda, página y estado soportados.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/api/admin/users/:id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Mismos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Detalle por ID.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/api/admin/users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users.manage y roles.manage (middleware exige ambos)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Alta de usuario (201); límite de tasa.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/api/admin/users/:id/invitation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SUPER_ADMIN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Reenvía invitación; límite de tasa.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PUT /api/admin/users/:id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users.manage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Edita usuario.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PUT /api/admin/users/:id/photo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users.manage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{photoBase64} o {removePhoto:true}; máximo de cuerpo de imagen configurado en app.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PUT /api/admin/users/:id/permissions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users.manage y permissions.manage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Asigna overrides/grants según catálogo.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/api/admin/roles/query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roles.manage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Lista roles.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/api/admin/roles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SUPER_ADMIN + roles.manage y permissions.manage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Crea rol (201).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PUT /api/admin/roles/:id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roles.manage y permissions.manage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Actualiza rol.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/api/admin/permissions/query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ADMIN, SUPER_ADMIN + permissions.manage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Lista permisos/catálogos.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/api/admin/products/query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JWT + uno de products.update, products.update_stock, products.update_price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Filtros de productos en JSON.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/api/admin/products/catalog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JWT + uno de los permisos de producto anteriores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Catálogo de categorías de producto.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/api/admin/products/:id/stock-movements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JWT + products.update_stock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Historial de movimientos de stock.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PATCH /api/admin/products/:id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JWT + uno de permisos de producto anteriores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Actualiza campos permitidos; photoBase64 opcional y requiere además products.update.</w:t>
            </w:r>
          </w:p>
        </w:tc>
      </w:tr>
    </w:tbl>
    <w:p>
      <w:pPr>
        <w:spacing w:after="0"/>
      </w:pPr>
    </w:p>
    <w:p>
      <w:pPr>
        <w:widowControl/>
      </w:pPr>
      <w:r>
        <w:t>Middleware requirePermission exige todos los permisos indicados; requireAnyPermission exige al menos uno. Ejemplo de consulta:</w:t>
      </w:r>
    </w:p>
    <w:p>
      <w:pPr>
        <w:spacing w:after="140"/>
        <w:ind w:left="173"/>
        <w:shd w:fill="F1F5F7"/>
      </w:pPr>
      <w:r>
        <w:rPr>
          <w:rFonts w:ascii="Consolas" w:hAnsi="Consolas"/>
          <w:color w:val="28373E"/>
          <w:sz w:val="15"/>
        </w:rPr>
        <w:t>POST /api/admin/users/query</w:t>
      </w:r>
      <w:r>
        <w:br/>
      </w:r>
      <w:r>
        <w:rPr>
          <w:rFonts w:ascii="Consolas" w:hAnsi="Consolas"/>
          <w:color w:val="28373E"/>
          <w:sz w:val="15"/>
        </w:rPr>
        <w:t>Authorization: Bearer &lt;accessToken&gt;</w:t>
      </w:r>
      <w:r>
        <w:br/>
      </w:r>
      <w:r>
        <w:rPr>
          <w:rFonts w:ascii="Consolas" w:hAnsi="Consolas"/>
          <w:color w:val="28373E"/>
          <w:sz w:val="15"/>
        </w:rPr>
        <w:t>Content-Type: application/json</w:t>
      </w:r>
      <w:r>
        <w:br/>
      </w:r>
      <w:r>
        <w:rPr>
          <w:rFonts w:ascii="Consolas" w:hAnsi="Consolas"/>
          <w:color w:val="28373E"/>
          <w:sz w:val="15"/>
        </w:rPr>
      </w:r>
      <w:r>
        <w:br/>
      </w:r>
      <w:r>
        <w:rPr>
          <w:rFonts w:ascii="Consolas" w:hAnsi="Consolas"/>
          <w:color w:val="28373E"/>
          <w:sz w:val="15"/>
        </w:rPr>
        <w:t>{"search":"ana","page":1,"status":"active"}</w:t>
      </w:r>
    </w:p>
    <w:p>
      <w:pPr>
        <w:pStyle w:val="Heading1"/>
      </w:pPr>
      <w:r>
        <w:t>Administración veterinaria — /api/admin/veterinarians, /api/admin/specialties</w:t>
      </w:r>
    </w:p>
    <w:p>
      <w:pPr>
        <w:widowControl/>
      </w:pPr>
      <w:r>
        <w:t>Estas rutas requieren JWT + rol ADMIN o SUPER_ADMIN + permiso veterinarians.manage o specialties.manage, respectivamente.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7128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Método y ruta</w:t>
            </w:r>
          </w:p>
        </w:tc>
        <w:tc>
          <w:tcPr>
            <w:tcW w:type="dxa" w:w="7128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Descripción / validaciones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/api/admin/veterinarians/catalog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Catálogos de veterinaria; lectura.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/api/admin/veterinarians/query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Lista; JSON admite filtros de búsqueda, estado, orden, página y especialidad.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/api/admin/veterinarians/:id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Detalle; ID numérico positivo.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/api/admin/veterinarians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Alta (201); DTO validado por validateVet; límite de tasa.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PUT /api/admin/veterinarians/:id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Actualización; DTO validateVet y autorización del actor.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PUT /api/admin/veterinarians/:id/photo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{photoBase64} o {removePhoto:true}; ID y validación de almacenamiento.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PATCH /api/admin/veterinarians/:id/status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{isActive:boolean} requerido.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/api/admin/specialties/query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Lista especialidades.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/api/admin/specialties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{name} requerido, texto máximo 100; 201.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PUT /api/admin/specialties/:id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{name? ,isActive?}; se requiere al menos un campo; nombre hasta 100.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DELETE /api/admin/specialties/:id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Elimina solo si no está asociada; 409 RECORD_IN_USE si tiene servicios o veterinarios relacionados.</w:t>
            </w:r>
          </w:p>
        </w:tc>
      </w:tr>
    </w:tbl>
    <w:p>
      <w:pPr>
        <w:spacing w:after="0"/>
      </w:pPr>
    </w:p>
    <w:p>
      <w:pPr>
        <w:pStyle w:val="Heading1"/>
      </w:pPr>
      <w:r>
        <w:t>Panel veterinario — /api/vet</w:t>
      </w:r>
    </w:p>
    <w:p>
      <w:pPr>
        <w:widowControl/>
      </w:pPr>
      <w:r>
        <w:t>JWT + rol VETERINARIAN. Los módulos se calculan según permisos efectivos y catálogo de permisos.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7128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Método y ruta</w:t>
            </w:r>
          </w:p>
        </w:tc>
        <w:tc>
          <w:tcPr>
            <w:tcW w:type="dxa" w:w="7128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/api/vet/profile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Perfil autenticado y perfil profesional/veterinario. {}.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PATCH /api/vet/profile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Actualiza perfil personal; campos permitidos por servicio.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PUT /api/vet/profile/password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Cambia clave propia; límite de tasa.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PUT /api/vet/profile/photo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{photoBase64} o {removePhoto:true}; límite de tasa.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/api/vet/home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Inicio con módulos accesibles y datos clínicos compartidos.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/api/vet/modules/:module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Verifica acceso al módulo del código indicado; 403 si no está habilitado.</w:t>
            </w:r>
          </w:p>
        </w:tc>
      </w:tr>
    </w:tbl>
    <w:p>
      <w:pPr>
        <w:spacing w:after="0"/>
      </w:pPr>
    </w:p>
    <w:p>
      <w:pPr>
        <w:pStyle w:val="Heading1"/>
      </w:pPr>
      <w:r>
        <w:t>Invitaciones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7128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Método y ruta</w:t>
            </w:r>
          </w:p>
        </w:tc>
        <w:tc>
          <w:tcPr>
            <w:tcW w:type="dxa" w:w="7128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Acceso / entrada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/api/auth/veterinarian-invitations/accept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Público con token de invitación en body; aplica tasa y consume la invitación.</w:t>
            </w:r>
          </w:p>
        </w:tc>
      </w:tr>
      <w:tr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POST /api/auth/invitations/accept</w:t>
            </w:r>
          </w:p>
        </w:tc>
        <w:tc>
          <w:tcPr>
            <w:tcW w:type="dxa" w:w="7128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Mismo handler compartido para invitaciones generales.</w:t>
            </w:r>
          </w:p>
        </w:tc>
      </w:tr>
    </w:tbl>
    <w:p>
      <w:pPr>
        <w:spacing w:after="0"/>
      </w:pPr>
    </w:p>
    <w:p>
      <w:pPr>
        <w:pStyle w:val="Heading1"/>
      </w:pPr>
      <w:r>
        <w:t>Códigos de error comunes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4752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Código frecuente</w:t>
            </w:r>
          </w:p>
        </w:tc>
        <w:tc>
          <w:tcPr>
            <w:tcW w:type="dxa" w:w="4752"/>
            <w:vAlign w:val="top"/>
            <w:shd w:fill="174A5B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Significado / acción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400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VALIDATION_ERROR, INVALID_JSON, CURRENT_PASSWORD_INVALID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Revisar JSON, campos, formato, IDs y valores admitidos.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401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AUTH_REQUIRED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Falta JWT válido o credencial cron incorrecta; renovar/iniciar sesión.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403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FORBIDDEN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Rol, permiso, ownership o acceso al módulo no habilitado.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404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NOT_FOUND, ROUTE_NOT_FOUND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Recurso o método/ruta no existe; verificar base URL y usar método vigente.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409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STORE_DEMO_DISABLED, RECORD_IN_USE y conflictos de negocio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Revisar estado del recurso/configuración; no reintentar a ciegas.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413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PAYLOAD_TOO_LARGE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Reducir imagen/comprobante; límites de carga de fotos y comprobantes son 8 MB y 5 MB respectivamente.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429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límite de autenticación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Esperar la ventana indicada por el servicio y evitar reintentos automáticos.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500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INTERNAL_ERROR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Error no expuesto; revisar logs depurados del backend.</w:t>
            </w:r>
          </w:p>
        </w:tc>
      </w:tr>
      <w:tr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503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AUTH_UNAVAILABLE, NOTIFICATION_JOB_UNAVAILABLE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sz w:val="16"/>
              </w:rPr>
              <w:t>Secreto/configuración o infraestructura no lista; revisar variables y servicio externo.</w:t>
            </w:r>
          </w:p>
        </w:tc>
      </w:tr>
    </w:tbl>
    <w:p>
      <w:pPr>
        <w:spacing w:after="0"/>
      </w:pPr>
    </w:p>
    <w:p>
      <w:pPr>
        <w:pStyle w:val="Heading1"/>
      </w:pPr>
      <w:r>
        <w:t>Qué se verificó y qué debe consultarse antes de integrar</w:t>
      </w:r>
    </w:p>
    <w:p>
      <w:pPr>
        <w:widowControl/>
      </w:pPr>
      <w:r>
        <w:t>Se verificaron las rutas registradas, método, prefijo, middleware visible, operación/handler, los contratos explícitos de client.service.ts, validadores dedicados de autenticación, mascotas, veterinaria y checkout, y errores normalizados. Algunos cuerpos de clínica y administración son contratos de operación/repositorio; se describieron por campo solo cuando el código lo hace explícito. Para esos formularios, inspeccione el tipo y la validación en el handler/repository de la misma operación antes de enviar campos adicionales. Los ejemplos de respuesta compactos representan el envelope, no una promesa de que las listas estarán vacías.</w:t>
      </w:r>
    </w:p>
    <w:p>
      <w:pPr>
        <w:widowControl/>
      </w:pPr>
      <w:r>
        <w:t>Fuentes ejecutables principales: backend/src/routes/, backend/src/app.ts, backend/src/controllers/, backend/src/services/client.service.ts, backend/src/repositories/clinic.repository.ts, backend/src/validators/ y backend/src/middlewares/error.middleware.ts.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970"/>
        <w:sz w:val="16"/>
      </w:rPr>
      <w:t xml:space="preserve">PetCare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A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6B7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Completa de la API de PetCare</dc:title>
  <dc:subject>Documentación de PetCare basada en el código actual</dc:subject>
  <dc:creator>PetCare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