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Microsoft JhengHei" w:hAnsi="Microsoft JhengHei" w:eastAsia="Microsoft JhengHei" w:cs="Microsoft JhengHei"/>
          <w:b/>
          <w:color w:val="000000"/>
          <w:sz w:val="40"/>
        </w:rPr>
        <w:t>浤 詺 資 訊 責 任 有 限 公 司</w:t>
      </w:r>
    </w:p>
    <w:p>
      <w:pPr>
        <w:spacing w:before="0" w:after="80" w:line="240" w:lineRule="auto"/>
        <w:jc w:val="center"/>
      </w:pPr>
      <w:r>
        <w:rPr>
          <w:rFonts w:ascii="Arial" w:hAnsi="Arial" w:eastAsia="Microsoft JhengHei" w:cs="Arial"/>
          <w:b/>
          <w:color w:val="000000"/>
          <w:sz w:val="26"/>
        </w:rPr>
        <w:t>CÔNG TY TNHH TOÀN CẦU HONG MING</w:t>
      </w:r>
    </w:p>
    <w:p>
      <w:pPr>
        <w:spacing w:before="0" w:after="0" w:line="240" w:lineRule="auto"/>
        <w:jc w:val="center"/>
      </w:pPr>
      <w:r>
        <w:rPr>
          <w:rFonts w:ascii="Microsoft JhengHei" w:hAnsi="Microsoft JhengHei" w:eastAsia="Microsoft JhengHei" w:cs="Microsoft JhengHei"/>
          <w:b/>
          <w:color w:val="000000"/>
          <w:sz w:val="38"/>
        </w:rPr>
        <w:t>請 款 單</w:t>
      </w:r>
    </w:p>
    <w:p>
      <w:pPr>
        <w:spacing w:before="0" w:after="100" w:line="240" w:lineRule="auto"/>
        <w:jc w:val="center"/>
      </w:pPr>
      <w:r>
        <w:rPr>
          <w:rFonts w:ascii="Arial" w:hAnsi="Arial" w:eastAsia="Microsoft JhengHei" w:cs="Arial"/>
          <w:b/>
          <w:color w:val="000000"/>
          <w:sz w:val="27"/>
        </w:rPr>
        <w:t>Phiếu yêu cầu thanh toán</w:t>
      </w:r>
    </w:p>
    <w:p>
      <w:pPr>
        <w:spacing w:before="0" w:after="0" w:line="240" w:lineRule="auto"/>
        <w:jc w:val="left"/>
      </w:pPr>
      <w:r>
        <w:rPr>
          <w:rFonts w:ascii="Microsoft JhengHei" w:hAnsi="Microsoft JhengHei" w:eastAsia="Microsoft JhengHei" w:cs="Microsoft JhengHei"/>
          <w:b w:val="0"/>
          <w:color w:val="000000"/>
          <w:sz w:val="19"/>
        </w:rPr>
        <w:t>CÔNG TY TNHH TOÀN CẦU HONG MING 致敬：</w:t>
      </w:r>
    </w:p>
    <w:p>
      <w:pPr>
        <w:spacing w:before="0" w:after="40" w:line="240" w:lineRule="auto"/>
        <w:jc w:val="right"/>
      </w:pPr>
      <w:r>
        <w:rPr>
          <w:rFonts w:ascii="Arial" w:hAnsi="Arial" w:eastAsia="Microsoft JhengHei" w:cs="Arial"/>
          <w:b/>
          <w:color w:val="000000"/>
          <w:sz w:val="17"/>
        </w:rPr>
        <w:t>Form NO.     HMV15102026-001-SYTT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1944"/>
        <w:gridCol w:w="5040"/>
        <w:gridCol w:w="1800"/>
        <w:gridCol w:w="1584"/>
      </w:tblGrid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6"/>
              </w:rPr>
              <w:t>客 戶 名 稱：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6"/>
              </w:rPr>
              <w:t>Tên khách hàng：</w:t>
            </w:r>
          </w:p>
        </w:tc>
        <w:tc>
          <w:tcPr>
            <w:tcW w:type="dxa" w:w="504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9"/>
              </w:rPr>
              <w:t>CÔNG TY TNHH CÔNG NGHỆ JINXUN VIỆT NAM</w:t>
            </w:r>
          </w:p>
        </w:tc>
        <w:tc>
          <w:tcPr>
            <w:tcW w:type="dxa" w:w="18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6"/>
              </w:rPr>
              <w:t>申 請 日 期：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6"/>
              </w:rPr>
              <w:t>Ngày nộp đơn：</w:t>
            </w:r>
          </w:p>
        </w:tc>
        <w:tc>
          <w:tcPr>
            <w:tcW w:type="dxa" w:w="158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9"/>
              </w:rPr>
              <w:t>15/10/2026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6"/>
              </w:rPr>
              <w:t>專 案 名 稱：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6"/>
              </w:rPr>
              <w:t>Tên dự án：</w:t>
            </w:r>
          </w:p>
        </w:tc>
        <w:tc>
          <w:tcPr>
            <w:tcW w:type="dxa" w:w="8424"/>
            <w:gridSpan w:val="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7"/>
              </w:rPr>
              <w:t>Căn cứ hợp đồng số: HD-20261013-001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7"/>
              </w:rPr>
              <w:t>Hệ thống MES Lite &amp; Tùy chỉnh API - Đợt 2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7"/>
              </w:rPr>
              <w:t>根據合同編號：HD-20261013-001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7"/>
              </w:rPr>
              <w:t>MES Lite 系統及自定義 API 接口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6"/>
              </w:rPr>
              <w:t>應 付 款 日 期：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6"/>
              </w:rPr>
              <w:t>Ngày đến hạn thanh toán：</w:t>
            </w:r>
          </w:p>
        </w:tc>
        <w:tc>
          <w:tcPr>
            <w:tcW w:type="dxa" w:w="504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9"/>
              </w:rPr>
              <w:t>None</w:t>
            </w:r>
          </w:p>
        </w:tc>
        <w:tc>
          <w:tcPr>
            <w:tcW w:type="dxa" w:w="18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6"/>
              </w:rPr>
              <w:t>付 款 方 式：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6"/>
              </w:rPr>
              <w:t>Phương thức thanh toán：</w:t>
            </w:r>
          </w:p>
        </w:tc>
        <w:tc>
          <w:tcPr>
            <w:tcW w:type="dxa" w:w="158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8"/>
              </w:rPr>
              <w:t>匯款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8"/>
              </w:rPr>
              <w:t>Chuyển khoản</w:t>
            </w:r>
          </w:p>
        </w:tc>
      </w:tr>
    </w:tbl>
    <w:tbl>
      <w:tblPr>
        <w:tblW w:type="dxa" w:w="10367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32"/>
        <w:gridCol w:w="2376"/>
        <w:gridCol w:w="605"/>
        <w:gridCol w:w="1181"/>
        <w:gridCol w:w="691"/>
        <w:gridCol w:w="1440"/>
        <w:gridCol w:w="907"/>
        <w:gridCol w:w="1037"/>
        <w:gridCol w:w="1699"/>
      </w:tblGrid>
      <w:tr>
        <w:trPr>
          <w:cantSplit/>
          <w:trHeight w:val="600" w:hRule="atLeast"/>
          <w:tblHeader w:val="true"/>
        </w:trPr>
        <w:tc>
          <w:tcPr>
            <w:tcW w:type="dxa" w:w="432"/>
            <w:shd w:fill="FFFF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項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STT</w:t>
            </w:r>
          </w:p>
        </w:tc>
        <w:tc>
          <w:tcPr>
            <w:tcW w:type="dxa" w:w="2376"/>
            <w:shd w:fill="FFFF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請款項目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Hạng mục thanh toán</w:t>
            </w:r>
          </w:p>
        </w:tc>
        <w:tc>
          <w:tcPr>
            <w:tcW w:type="dxa" w:w="605"/>
            <w:shd w:fill="FFFF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幣別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Tiền tệ</w:t>
            </w:r>
          </w:p>
        </w:tc>
        <w:tc>
          <w:tcPr>
            <w:tcW w:type="dxa" w:w="1181"/>
            <w:shd w:fill="FFFF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單價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Đơn giá</w:t>
            </w:r>
          </w:p>
        </w:tc>
        <w:tc>
          <w:tcPr>
            <w:tcW w:type="dxa" w:w="691"/>
            <w:shd w:fill="FFFF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數量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Số lượng</w:t>
            </w:r>
          </w:p>
        </w:tc>
        <w:tc>
          <w:tcPr>
            <w:tcW w:type="dxa" w:w="1440"/>
            <w:shd w:fill="FFFF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合同金額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Số tiền hợp đồng</w:t>
            </w:r>
          </w:p>
        </w:tc>
        <w:tc>
          <w:tcPr>
            <w:tcW w:type="dxa" w:w="907"/>
            <w:shd w:fill="FFFF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稅率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Thuế suất</w:t>
            </w:r>
          </w:p>
        </w:tc>
        <w:tc>
          <w:tcPr>
            <w:tcW w:type="dxa" w:w="1037"/>
            <w:shd w:fill="FFFF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稅額 VAT</w:t>
            </w:r>
          </w:p>
        </w:tc>
        <w:tc>
          <w:tcPr>
            <w:tcW w:type="dxa" w:w="1699"/>
            <w:shd w:fill="FFFF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請款金額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Số tiền xin TT</w:t>
            </w:r>
          </w:p>
        </w:tc>
      </w:tr>
      <w:tr>
        <w:trPr>
          <w:cantSplit/>
          <w:trHeight w:val="880" w:hRule="atLeast"/>
        </w:trPr>
        <w:tc>
          <w:tcPr>
            <w:tcW w:type="dxa" w:w="4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23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4"/>
              </w:rPr>
              <w:t>請款 / Thanh toán Đợt 2：55%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4"/>
              </w:rPr>
              <w:t>合約 / Hợp đồng：HD-20261013-001</w:t>
            </w:r>
          </w:p>
        </w:tc>
        <w:tc>
          <w:tcPr>
            <w:tcW w:type="dxa" w:w="605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4"/>
              </w:rPr>
              <w:t>VND</w:t>
            </w:r>
          </w:p>
        </w:tc>
        <w:tc>
          <w:tcPr>
            <w:tcW w:type="dxa" w:w="118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4"/>
              </w:rPr>
              <w:t>807.583.184</w:t>
            </w:r>
          </w:p>
        </w:tc>
        <w:tc>
          <w:tcPr>
            <w:tcW w:type="dxa" w:w="69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144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4"/>
              </w:rPr>
              <w:t>807.583.184</w:t>
            </w:r>
          </w:p>
        </w:tc>
        <w:tc>
          <w:tcPr>
            <w:tcW w:type="dxa" w:w="90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4"/>
              </w:rPr>
              <w:t>0%</w:t>
            </w:r>
          </w:p>
        </w:tc>
        <w:tc>
          <w:tcPr>
            <w:tcW w:type="dxa" w:w="1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4"/>
              </w:rPr>
              <w:t>-</w:t>
            </w:r>
          </w:p>
        </w:tc>
        <w:tc>
          <w:tcPr>
            <w:tcW w:type="dxa" w:w="169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4"/>
              </w:rPr>
              <w:t>444.170.751</w:t>
            </w:r>
          </w:p>
        </w:tc>
      </w:tr>
      <w:tr>
        <w:trPr>
          <w:cantSplit/>
          <w:trHeight w:val="400" w:hRule="atLeast"/>
        </w:trPr>
        <w:tc>
          <w:tcPr>
            <w:tcW w:type="dxa" w:w="5285"/>
            <w:gridSpan w:val="5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20"/>
              </w:rPr>
              <w:t>合計 Tổng cộng</w:t>
            </w:r>
          </w:p>
        </w:tc>
        <w:tc>
          <w:tcPr>
            <w:tcW w:type="dxa" w:w="5083"/>
            <w:gridSpan w:val="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Microsoft JhengHei" w:cs="Times New Roman"/>
                <w:b/>
                <w:color w:val="000000"/>
                <w:sz w:val="22"/>
              </w:rPr>
              <w:t>444.170.751</w:t>
            </w:r>
          </w:p>
        </w:tc>
      </w:tr>
    </w:tbl>
    <w:p>
      <w:pPr>
        <w:spacing w:after="30"/>
      </w:pP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0368"/>
      </w:tblGrid>
      <w:tr>
        <w:tc>
          <w:tcPr>
            <w:tcW w:type="dxa" w:w="103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4"/>
              </w:rPr>
              <w:t>備註：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4"/>
              </w:rPr>
              <w:t>ngay sau khi hai bên ký kết hợp đồng, thời hạn thanh toán T/T 30 ngày: Thanh toán 35% giá trị hợp đồng (282.654.114 VND - Hai trăm tám mươi hai triệu sáu trăm năm mươi tư nghìn một trăm mười bốn đồng chẵn.) Hạn thanh toán: 16/10/2026. Hóa đơn: HD-00195. Đã hoàn tất.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4"/>
              </w:rPr>
              <w:t>01  簽約完成時：支付合約金額的 35% (282.654.114 VND，越南盾貳億捌仟貳佰陸拾伍萬肆仟壹佰壹拾肆整)。 付款到期日：16/10/2026。 發票編號：HD-00195。已支付。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4"/>
              </w:rPr>
              <w:t>sau khi bàn giao thiết bị và hoàn thành cài đặt hệ thống, thời hạn thanh toán T/T 60 ngày: Thanh toán 55% giá trị hợp đồng (444.170.751 VND - Bốn trăm bốn mươi tư triệu một trăm bảy mươi nghìn bảy trăm năm mươi mốt đồng chẵn.) Hạn thanh toán: None. Chưa thanh toán.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4"/>
              </w:rPr>
              <w:t>02  設備安裝完成時：支付合約金額的 55% (444.170.751 VND，越南盾肆億肆仟肆佰壹拾柒萬零柒佰伍拾壹整)。 付款到期日：None。待支付。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4"/>
              </w:rPr>
              <w:t>kể từ ngày ký biên bản nghiệm thu bàn giao (FAC), thời hạn thanh toán T/T 10 ngày: Thanh toán 10% giá trị hợp đồng (80.758.318 VND - Tám mươi triệu bảy trăm năm mươi tám nghìn ba trăm mười tám đồng chẵn.) Chưa thanh toán.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4"/>
              </w:rPr>
              <w:t>03  簽約完成時：支付合約金額的 10% (80.758.318 VND，越南盾捌仟零柒拾伍萬捌仟參佰壹拾捌整)。待支付。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4"/>
              </w:rPr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4"/>
              </w:rPr>
              <w:t>**以上價格不包含VAT增值稅，稅率依發票開立時的稅率為準。Giá nêu trên chưa bao gồm thuế GTGT (VAT). Thuế suất áp dụng theo mức thuế suất tại thời điểm xuất hóa đơn.</w:t>
            </w:r>
          </w:p>
        </w:tc>
      </w:tr>
    </w:tbl>
    <w:p>
      <w:pPr>
        <w:spacing w:after="30"/>
      </w:pP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088"/>
        <w:gridCol w:w="4104"/>
        <w:gridCol w:w="1512"/>
        <w:gridCol w:w="2664"/>
      </w:tblGrid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6"/>
              </w:rPr>
              <w:t>銀行帳戶名稱</w:t>
            </w:r>
          </w:p>
        </w:tc>
        <w:tc>
          <w:tcPr>
            <w:tcW w:type="dxa" w:w="41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6"/>
              </w:rPr>
              <w:t>CÔNG TY TNHH TOÀN CẦU HONG MING</w:t>
            </w:r>
          </w:p>
        </w:tc>
        <w:tc>
          <w:tcPr>
            <w:tcW w:type="dxa" w:w="15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6"/>
              </w:rPr>
              <w:t>銀行帳號</w:t>
            </w:r>
          </w:p>
        </w:tc>
        <w:tc>
          <w:tcPr>
            <w:tcW w:type="dxa" w:w="26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6"/>
              </w:rPr>
              <w:t>604080006546(VND)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6"/>
              </w:rPr>
              <w:t>銀行名稱</w:t>
            </w:r>
          </w:p>
        </w:tc>
        <w:tc>
          <w:tcPr>
            <w:tcW w:type="dxa" w:w="8280"/>
            <w:gridSpan w:val="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6"/>
              </w:rPr>
              <w:t>CATHAY UNITED BANK - HO CHI MINH CITY BRANCH</w:t>
            </w:r>
          </w:p>
        </w:tc>
      </w:tr>
    </w:tbl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84"/>
        <w:gridCol w:w="5184"/>
      </w:tblGrid>
      <w:tr>
        <w:trPr>
          <w:trHeight w:val="960" w:hRule="atLeast"/>
        </w:trPr>
        <w:tc>
          <w:tcPr>
            <w:tcW w:type="dxa" w:w="518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8"/>
              </w:rPr>
              <w:t>買方主管</w:t>
            </w:r>
          </w:p>
        </w:tc>
        <w:tc>
          <w:tcPr>
            <w:tcW w:type="dxa" w:w="518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8"/>
              </w:rPr>
              <w:t>申請單位</w:t>
            </w:r>
          </w:p>
        </w:tc>
      </w:tr>
    </w:tbl>
    <w:sectPr w:rsidR="00FC693F" w:rsidRPr="0006063C" w:rsidSect="00034616">
      <w:pgSz w:w="11906" w:h="16838"/>
      <w:pgMar w:top="510" w:right="567" w:bottom="510" w:left="567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Microsoft JhengHe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