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QA-FOUR-2026</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JINXUN 金迅廠區 MES Lite 系統建置報價單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cho nhà máy JINXUN (JINXUN 金迅廠區 MES Lite 系統建置報價單),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w:t>
            </w:r>
            <w:r>
              <w:br/>
            </w:r>
            <w:r>
              <w:rPr>
                <w:rFonts w:ascii="Times New Roman" w:hAnsi="Times New Roman"/>
                <w:b w:val="0"/>
                <w:sz w:val="20"/>
              </w:rPr>
              <w:t>Hệ thống MES Lite - Nghiệp vụ PM</w:t>
            </w:r>
          </w:p>
        </w:tc>
        <w:tc>
          <w:tcPr>
            <w:tcW w:w="1985" w:type="dxa"/>
            <w:vAlign w:val="center"/>
            <w:hideMark/>
          </w:tcPr>
          <w:p>
            <w:pPr>
              <w:jc w:val="right"/>
            </w:pPr>
            <w:r/>
            <w:r>
              <w:rPr>
                <w:rFonts w:ascii="Times New Roman" w:hAnsi="Times New Roman"/>
                <w:b w:val="0"/>
                <w:sz w:val="20"/>
              </w:rPr>
              <w:t>110.000.000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110.000.000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w:t>
            </w:r>
            <w:r>
              <w:br/>
            </w:r>
            <w:r>
              <w:rPr>
                <w:rFonts w:ascii="Times New Roman" w:hAnsi="Times New Roman"/>
                <w:b w:val="0"/>
                <w:sz w:val="20"/>
              </w:rPr>
              <w:t>Hệ thống MES Lite - Giao diện Web "Phiên bản cấp phép cho 25 máy"</w:t>
            </w:r>
          </w:p>
        </w:tc>
        <w:tc>
          <w:tcPr>
            <w:tcW w:w="1985" w:type="dxa"/>
            <w:vAlign w:val="center"/>
            <w:hideMark/>
          </w:tcPr>
          <w:p>
            <w:pPr>
              <w:jc w:val="right"/>
            </w:pPr>
            <w:r/>
            <w:r>
              <w:rPr>
                <w:rFonts w:ascii="Times New Roman" w:hAnsi="Times New Roman"/>
                <w:b w:val="0"/>
                <w:sz w:val="20"/>
              </w:rPr>
              <w:t>588.000.000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588.000.000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w:t>
            </w:r>
            <w:r>
              <w:br/>
            </w:r>
            <w:r>
              <w:rPr>
                <w:rFonts w:ascii="Times New Roman" w:hAnsi="Times New Roman"/>
                <w:b w:val="0"/>
                <w:sz w:val="20"/>
              </w:rPr>
              <w:t>Hệ thống MES Lite - Giao diện API cấp liệu tùy chỉnh (Option)</w:t>
            </w:r>
          </w:p>
        </w:tc>
        <w:tc>
          <w:tcPr>
            <w:tcW w:w="1985" w:type="dxa"/>
            <w:vAlign w:val="center"/>
            <w:hideMark/>
          </w:tcPr>
          <w:p>
            <w:pPr>
              <w:jc w:val="right"/>
            </w:pPr>
            <w:r/>
            <w:r>
              <w:rPr>
                <w:rFonts w:ascii="Times New Roman" w:hAnsi="Times New Roman"/>
                <w:b w:val="0"/>
                <w:sz w:val="20"/>
              </w:rPr>
              <w:t>109.583.184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109.583.184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781.530.000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781.530.000 VND ( Bảy trăm tám mươi mốt triệu năm trăm ba mươi nghìn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781.530.000 VND (越南盾柒億捌仟壹佰伍拾參萬整)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簽約定金：支付合約總金額之 10%，即 78.153.000 VND（越南盾柒仟捌佰壹拾伍萬參仟整），於雙方簽訂合約後 30 天內以電匯（T/T）方式支付。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Tạm ứng ký hợp đồng: Thanh toán 10% giá trị hợp đồng (78.153.000 VND – Bảy mươi tám triệu một trăm năm mươi ba nghìn đồng chẵn.) bằng hình thức chuyển khoản T/T trong vòng 30 ngày kể từ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基礎工程款：支付合約總金額之 30%，即 234.459.000 VND（越南盾貳億參仟肆佰肆拾伍萬玖仟整），於完成基礎工程、配線並經雙方簽署確認後 60 天內以電匯（T/T）方式支付。</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Hoàn tất hạ tầng: Thanh toán 30% giá trị hợp đồng (234.459.000 VND – Hai trăm ba mươi tư triệu bốn trăm năm mươi chín nghìn đồng chẵn.) bằng hình thức chuyển khoản T/T trong vòng 60 ngày kể từ khi hoàn tất thi công hạ tầng, đi dây và hai bên ký xác nhận.</w:t>
      </w:r>
    </w:p>
    <w:p w14:paraId="333665CA" w14:textId="77777777" w:rsidR="001C62BE" w:rsidRDefault="001C62BE" w:rsidP="001C62BE">
      <w:pPr>
        <w:tabs>
          <w:tab w:val="left" w:pos="540"/>
        </w:tabs>
        <w:ind w:left="360"/>
        <w:rPr>
          <w:rFonts w:ascii="Times New Roman" w:hAnsi="Times New Roman"/>
          <w:sz w:val="24"/>
          <w:szCs w:val="24"/>
          <w:lang w:eastAsia="zh-TW"/>
        </w:rPr>
        <w:numPr>
          <w:ilvl w:val="1"/>
          <w:numId w:val="36"/>
        </w:numPr>
      </w:pPr>
      <w:r/>
      <w:r>
        <w:rPr>
          <w:rFonts w:ascii="Times New Roman" w:hAnsi="Times New Roman"/>
          <w:sz w:val="24"/>
        </w:rPr>
        <w:t>系統建置款：支付合約總金額之 30%，即 234.459.000 VND（越南盾貳億參仟肆佰肆拾伍萬玖仟整），於完成系統建置、安裝並經雙方簽署確認後以電匯（T/T）方式支付。</w:t>
      </w:r>
    </w:p>
    <w:p w14:paraId="48EBB6AC" w14:textId="77777777" w:rsidR="001C62BE" w:rsidRDefault="001C62BE" w:rsidP="001C62BE">
      <w:pPr>
        <w:tabs>
          <w:tab w:val="left" w:pos="540"/>
          <w:tab w:val="left" w:pos="960"/>
        </w:tabs>
        <w:ind w:left="794"/>
        <w:jc w:val="both"/>
        <w:rPr>
          <w:rFonts w:ascii="Times New Roman" w:hAnsi="Times New Roman"/>
          <w:b/>
          <w:sz w:val="24"/>
          <w:szCs w:val="24"/>
        </w:rPr>
      </w:pPr>
      <w:r/>
      <w:r>
        <w:rPr>
          <w:rFonts w:ascii="Times New Roman" w:hAnsi="Times New Roman"/>
          <w:sz w:val="24"/>
        </w:rPr>
        <w:t>Triển khai hệ thống: Thanh toán 30% giá trị hợp đồng (234.459.000 VND – Hai trăm ba mươi tư triệu bốn trăm năm mươi chín nghìn đồng chẵn.) bằng hình thức chuyển khoản T/T sau khi hoàn tất triển khai, cài đặt hệ thống và hai bên ký xác nhận.</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驗收尾款：支付合約總金額之 30%，即 234.459.000 VND（越南盾貳億參仟肆佰肆拾伍萬玖仟整），於完成最終驗收（FAC）並簽署驗收交付文件後以電匯（T/T）方式支付。</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Nghiệm thu FAC: Thanh toán 30% giá trị hợp đồng (234.459.000 VND – Hai trăm ba mươi tư triệu bốn trăm năm mươi chín nghìn đồng chẵn.) bằng hình thức chuyển khoản T/T sau khi hoàn tất nghiệm thu cuối cùng (FAC) và ký biên bản bàn giao.</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