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QA-ONE-2026</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CÔNG TY TNHH CÔNG NGHỆ JINXUN VIỆT NAM</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Thôn Trụ, Phường Việt Hòa, Thành phố Hải Phòng, Việt Nam</w:t>
      </w:r>
      <w:r w:rsidR="001C62BE" w:rsidRPr="001C62BE">
        <w:rPr>
          <w:rFonts w:ascii="Times New Roman" w:hAnsi="Times New Roman"/>
          <w:sz w:val="24"/>
          <w:szCs w:val="24"/>
        </w:rPr>
        <w:t xml:space="preserve"/>
      </w:r>
    </w:p>
    <w:p w14:paraId="2BB531B8" w14:textId="77777777"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0801382054</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77777777"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HUANG YU</w:t>
        </w:r>
      </w:hyperlink>
      <w:r w:rsidR="001C62BE" w:rsidRPr="001C62B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JINXUN 金迅廠區 MES Lite 系統建置報價單 內容達成共識，並同意簽訂本合約，共同遵守執行合約內容如下:</w:t>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MES Lite cho nhà máy JINXUN (JINXUN 金迅廠區 MES Lite 系統建置報價單),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1</w:t>
            </w:r>
          </w:p>
        </w:tc>
        <w:tc>
          <w:tcPr>
            <w:tcW w:w="3656" w:type="dxa"/>
            <w:vAlign w:val="center"/>
            <w:hideMark/>
          </w:tcPr>
          <w:p>
            <w:pPr>
              <w:jc w:val="left"/>
            </w:pPr>
            <w:r/>
            <w:r>
              <w:rPr>
                <w:rFonts w:ascii="Times New Roman" w:hAnsi="Times New Roman"/>
                <w:b w:val="0"/>
                <w:sz w:val="20"/>
              </w:rPr>
              <w:t>MES Lite 系統 - PM 作業</w:t>
            </w:r>
            <w:r>
              <w:br/>
            </w:r>
            <w:r>
              <w:rPr>
                <w:rFonts w:ascii="Times New Roman" w:hAnsi="Times New Roman"/>
                <w:b w:val="0"/>
                <w:sz w:val="20"/>
              </w:rPr>
              <w:t>Hệ thống MES Lite - Nghiệp vụ PM</w:t>
            </w:r>
          </w:p>
        </w:tc>
        <w:tc>
          <w:tcPr>
            <w:tcW w:w="1985" w:type="dxa"/>
            <w:vAlign w:val="center"/>
            <w:hideMark/>
          </w:tcPr>
          <w:p>
            <w:pPr>
              <w:jc w:val="right"/>
            </w:pPr>
            <w:r/>
            <w:r>
              <w:rPr>
                <w:rFonts w:ascii="Times New Roman" w:hAnsi="Times New Roman"/>
                <w:b w:val="0"/>
                <w:sz w:val="20"/>
              </w:rPr>
              <w:t>110.000.000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110.000.000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2</w:t>
            </w:r>
          </w:p>
        </w:tc>
        <w:tc>
          <w:tcPr>
            <w:tcW w:w="3656" w:type="dxa"/>
            <w:vAlign w:val="center"/>
            <w:hideMark/>
          </w:tcPr>
          <w:p>
            <w:pPr>
              <w:jc w:val="left"/>
            </w:pPr>
            <w:r/>
            <w:r>
              <w:rPr>
                <w:rFonts w:ascii="Times New Roman" w:hAnsi="Times New Roman"/>
                <w:b w:val="0"/>
                <w:sz w:val="20"/>
              </w:rPr>
              <w:t>MES Lite 系統 - Web 介面「25 機台授權版」</w:t>
            </w:r>
            <w:r>
              <w:br/>
            </w:r>
            <w:r>
              <w:rPr>
                <w:rFonts w:ascii="Times New Roman" w:hAnsi="Times New Roman"/>
                <w:b w:val="0"/>
                <w:sz w:val="20"/>
              </w:rPr>
              <w:t>Hệ thống MES Lite - Giao diện Web "Phiên bản cấp phép cho 25 máy"</w:t>
            </w:r>
          </w:p>
        </w:tc>
        <w:tc>
          <w:tcPr>
            <w:tcW w:w="1985" w:type="dxa"/>
            <w:vAlign w:val="center"/>
            <w:hideMark/>
          </w:tcPr>
          <w:p>
            <w:pPr>
              <w:jc w:val="right"/>
            </w:pPr>
            <w:r/>
            <w:r>
              <w:rPr>
                <w:rFonts w:ascii="Times New Roman" w:hAnsi="Times New Roman"/>
                <w:b w:val="0"/>
                <w:sz w:val="20"/>
              </w:rPr>
              <w:t>588.000.000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588.000.000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3</w:t>
            </w:r>
          </w:p>
        </w:tc>
        <w:tc>
          <w:tcPr>
            <w:tcW w:w="3656" w:type="dxa"/>
            <w:vAlign w:val="center"/>
            <w:hideMark/>
          </w:tcPr>
          <w:p>
            <w:pPr>
              <w:jc w:val="left"/>
            </w:pPr>
            <w:r/>
            <w:r>
              <w:rPr>
                <w:rFonts w:ascii="Times New Roman" w:hAnsi="Times New Roman"/>
                <w:b w:val="0"/>
                <w:sz w:val="20"/>
              </w:rPr>
              <w:t>MES Lite 系統 - 客製上料 API 接口</w:t>
            </w:r>
            <w:r>
              <w:br/>
            </w:r>
            <w:r>
              <w:rPr>
                <w:rFonts w:ascii="Times New Roman" w:hAnsi="Times New Roman"/>
                <w:b w:val="0"/>
                <w:sz w:val="20"/>
              </w:rPr>
              <w:t>Hệ thống MES Lite - Giao diện API cấp liệu tùy chỉnh (Option)</w:t>
            </w:r>
          </w:p>
        </w:tc>
        <w:tc>
          <w:tcPr>
            <w:tcW w:w="1985" w:type="dxa"/>
            <w:vAlign w:val="center"/>
            <w:hideMark/>
          </w:tcPr>
          <w:p>
            <w:pPr>
              <w:jc w:val="right"/>
            </w:pPr>
            <w:r/>
            <w:r>
              <w:rPr>
                <w:rFonts w:ascii="Times New Roman" w:hAnsi="Times New Roman"/>
                <w:b w:val="0"/>
                <w:sz w:val="20"/>
              </w:rPr>
              <w:t>109.583.184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109.583.184 VND</w:t>
            </w:r>
          </w:p>
        </w:tc>
      </w:tr>
      <w:tr w:rsidR="00CF1F9A" w:rsidRPr="008867E1" w14:paraId="3D6C55DB" w14:textId="77777777" w:rsidTr="009C6415">
        <w:trPr>
          <w:trHeight w:val="553"/>
        </w:trPr>
        <w:tc>
          <w:tcPr>
            <w:tcW w:w="6431" w:type="dxa"/>
            <w:gridSpan w:val="2"/>
            <w:vAlign w:val="center"/>
          </w:tcPr>
          <w:p>
            <w:pPr>
              <w:jc w:val="center"/>
            </w:pPr>
            <w:r/>
            <w:r>
              <w:rPr>
                <w:rFonts w:ascii="Times New Roman" w:hAnsi="Times New Roman"/>
                <w:b/>
                <w:sz w:val="20"/>
              </w:rPr>
              <w:t>總共 Tổng Cộng</w:t>
            </w:r>
          </w:p>
        </w:tc>
        <w:tc>
          <w:tcPr>
            <w:tcW w:w="1985" w:type="dxa"/>
            <w:vAlign w:val="center"/>
            <w:hideMark/>
          </w:tcPr>
          <w:p>
            <w:pPr>
              <w:jc w:val="right"/>
            </w:pPr>
            <w:r/>
            <w:r>
              <w:rPr>
                <w:rFonts w:ascii="Times New Roman" w:hAnsi="Times New Roman"/>
                <w:b/>
                <w:sz w:val="20"/>
              </w:rPr>
              <w:t>807.583.184 VND</w:t>
            </w:r>
          </w:p>
        </w:tc>
        <w:tc>
          <w:tcPr>
            <w:tcW w:w="1559" w:type="dxa"/>
            <w:vAlign w:val="center"/>
          </w:tcPr>
          <w:p>
            <w:pPr>
              <w:jc w:val="center"/>
            </w:pPr>
            <w:r/>
            <w:r>
              <w:rPr>
                <w:rFonts w:ascii="Times New Roman" w:hAnsi="Times New Roman"/>
                <w:b/>
                <w:sz w:val="20"/>
              </w:rPr>
              <w:t>Sau Giảm Giá</w:t>
            </w:r>
            <w:r>
              <w:br/>
            </w:r>
            <w:r>
              <w:rPr>
                <w:rFonts w:ascii="Times New Roman" w:hAnsi="Times New Roman"/>
                <w:b/>
                <w:sz w:val="20"/>
              </w:rPr>
              <w:t>優惠價</w:t>
            </w:r>
          </w:p>
        </w:tc>
        <w:tc>
          <w:tcPr>
            <w:tcW w:w="2155" w:type="dxa"/>
            <w:vAlign w:val="center"/>
          </w:tcPr>
          <w:p>
            <w:pPr>
              <w:jc w:val="right"/>
            </w:pPr>
            <w:r/>
            <w:r>
              <w:rPr>
                <w:rFonts w:ascii="Times New Roman" w:hAnsi="Times New Roman"/>
                <w:b/>
                <w:sz w:val="20"/>
              </w:rPr>
              <w:t>781.530.000 VND</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Tổng cộng số tiền phải thanh toán: 781.530.000 VND ( Bảy trăm tám mươi mốt triệu năm trăm ba mươi nghìn đồng chẵn. )</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總金額: 781.530.000 VND (越南盾柒億捌仟壹佰伍拾參萬整)</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一次付清：支付合約總金額之 100%，即 781.530.000 VND（越南盾柒億捌仟壹佰伍拾參萬整），於客戶收到全部貨物及有效單據後 10 天內以電匯（T/T）方式支付。</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Thanh toán một lần: Thanh toán 100% giá trị hợp đồng (781.530.000 VND – Bảy trăm tám mươi mốt triệu năm trăm ba mươi nghìn đồng chẵn.) bằng hình thức chuyển khoản T/T trong vòng 10 ngày kể từ khi khách hàng nhận đủ hàng hóa và chứng từ hợp lệ.</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CÔNG TY TNHH CÔNG NGHỆ JINXUN VIỆT NAM</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HUANG YU</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Ngày hợp đồng合約日期(Ngày / Tháng / Năm)：  13 /  10  /  2026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5C36" w14:textId="77777777" w:rsidR="00E631F9" w:rsidRDefault="00E631F9" w:rsidP="00CF4D0F">
      <w:pPr>
        <w:spacing w:after="0" w:line="240" w:lineRule="auto"/>
      </w:pPr>
      <w:r>
        <w:separator/>
      </w:r>
    </w:p>
  </w:endnote>
  <w:endnote w:type="continuationSeparator" w:id="0">
    <w:p w14:paraId="0C50DBBC" w14:textId="77777777" w:rsidR="00E631F9" w:rsidRDefault="00E631F9"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635C6" w14:textId="77777777" w:rsidR="00E631F9" w:rsidRDefault="00E631F9" w:rsidP="00CF4D0F">
      <w:pPr>
        <w:spacing w:after="0" w:line="240" w:lineRule="auto"/>
      </w:pPr>
      <w:r>
        <w:separator/>
      </w:r>
    </w:p>
  </w:footnote>
  <w:footnote w:type="continuationSeparator" w:id="0">
    <w:p w14:paraId="69A6781A" w14:textId="77777777" w:rsidR="00E631F9" w:rsidRDefault="00E631F9"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12365</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3</cp:revision>
  <cp:lastPrinted>2025-06-12T12:11:00Z</cp:lastPrinted>
  <dcterms:created xsi:type="dcterms:W3CDTF">2026-10-13T08:13:00Z</dcterms:created>
  <dcterms:modified xsi:type="dcterms:W3CDTF">2026-10-15T04:07:00Z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