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 / 总经理</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系統及相關客製項目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&amp; Các tùy chỉnh liên quan (MES Lite 系統及相關客製項目),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 Hệ thống MES Lite - Nghiệp vụ PM</w:t>
            </w:r>
          </w:p>
        </w:tc>
        <w:tc>
          <w:tcPr>
            <w:tcW w:w="1985" w:type="dxa"/>
            <w:vAlign w:val="center"/>
            <w:hideMark/>
          </w:tcPr>
          <w:p>
            <w:pPr>
              <w:jc w:val="right"/>
            </w:pPr>
            <w:r/>
            <w:r>
              <w:rPr>
                <w:rFonts w:ascii="Times New Roman" w:hAnsi="Times New Roman"/>
                <w:b w:val="0"/>
                <w:sz w:val="20"/>
              </w:rPr>
              <w:t>VND 110,000,000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110,000,000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 Hệ thống MES Lite - Giao diện Web "Phiên bản cấp phép cho 25 máy"</w:t>
            </w:r>
          </w:p>
        </w:tc>
        <w:tc>
          <w:tcPr>
            <w:tcW w:w="1985" w:type="dxa"/>
            <w:vAlign w:val="center"/>
            <w:hideMark/>
          </w:tcPr>
          <w:p>
            <w:pPr>
              <w:jc w:val="right"/>
            </w:pPr>
            <w:r/>
            <w:r>
              <w:rPr>
                <w:rFonts w:ascii="Times New Roman" w:hAnsi="Times New Roman"/>
                <w:b w:val="0"/>
                <w:sz w:val="20"/>
              </w:rPr>
              <w:t>VND 588,000,000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588,000,000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 Hệ thống MES Lite - Giao diện API cấp liệu tùy chỉnh (Option)</w:t>
            </w:r>
          </w:p>
        </w:tc>
        <w:tc>
          <w:tcPr>
            <w:tcW w:w="1985" w:type="dxa"/>
            <w:vAlign w:val="center"/>
            <w:hideMark/>
          </w:tcPr>
          <w:p>
            <w:pPr>
              <w:jc w:val="right"/>
            </w:pPr>
            <w:r/>
            <w:r>
              <w:rPr>
                <w:rFonts w:ascii="Times New Roman" w:hAnsi="Times New Roman"/>
                <w:b w:val="0"/>
                <w:sz w:val="20"/>
              </w:rPr>
              <w:t>VND 109,583,184</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109,583,184</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807.583.184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807.583.184 VND (越南盾捌億零柒佰伍拾捌萬參仟壹佰捌拾肆整)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807.583.184 VND ( Tám trăm lẻ bảy triệu năm trăm tám mươi ba nghìn một trăm tám mươi tư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35%, 即 282.654.114 VND (越南盾貳億捌仟貳佰陸拾伍萬肆仟壹佰壹拾肆整)，雙方簽約後即期以電匯（T/T）方式支付後，付款期限為 T/T 30 天。</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35%): Thanh toán 35% giá trị hợp đồng (282.654.114 VND – Hai trăm tám mươi hai triệu sáu trăm năm mươi tư nghìn một trăm mười bốn đồng chẵn.) ngay sau khi hai bên ký kết hợp đồng, thời hạn thanh toán T/T 30 ngày.</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444.170.751 VND (越南盾肆億肆仟肆佰壹拾柒萬零柒佰伍拾壹整)，於設備安裝及系統建置完成並經雙方簽署確認文件後，付款期限為 T/T 60 天。</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Lắp đặt thiết bị): Thanh toán 55% giá trị hợp đồng (444.170.751 VND – Bốn trăm bốn mươi tư triệu một trăm bảy mươi nghìn bảy trăm năm mươi mốt đồng chẵn.) sau khi bàn giao thiết bị và hoàn thành cài đặt hệ thống, thời hạn thanh toán T/T 60 ngày.</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80.758.319 VND (越南盾捌仟零柒拾伍萬捌仟參佰壹拾玖整)，於最終驗收（FAC）完成並簽署驗收交付文件後，付款期限為 T/T 10 天。</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Nghiệm thu cuối cùng): Thanh toán 10% giá trị hợp đồng (80.758.319 VND – Tám mươi triệu bảy trăm năm mươi tám nghìn ba trăm mười chín đồng chẵn.) kể từ ngày ký biên bản nghiệm thu bàn giao (FAC), thời hạn thanh toán T/T 10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