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HD-20261013-TEST</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GIẢI PHÁP CÔNG NGHỆ MINH PHÁT</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Số 28, Đường Công Nghệ, Phường Bình Dương, Thành phố Hồ Chí Minh,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0000000000</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NGUYỄN MINH KHẢI</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WMS倉庫管理系統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(WMS倉庫管理系統),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5" w:type="dxa"/>
            <w:vAlign w:val="center"/>
            <w:hideMark/>
          </w:tcPr>
          <w:p>
            <w:pPr>
              <w:jc w:val="right"/>
            </w:pPr>
            <w:r/>
            <w:r>
              <w:rPr>
                <w:rFonts w:ascii="Times New Roman" w:hAnsi="Times New Roman"/>
                <w:b w:val="0"/>
                <w:sz w:val="20"/>
              </w:rPr>
              <w:t>185.000.000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185.000.000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185.000.000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185.000.000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185.000.000 VND ( Một trăm tám mươi lăm triệu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185.000.000 VND (越南盾壹億捌仟伍佰萬整)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簽約定金：支付合約總金額之 35%，即 64.750.000 VND（越南盾陸仟肆佰柒拾伍萬整），雙方簽約後即期以電匯（T/T）方式支付。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(35%): Thanh toán 35% giá trị hợp đồng (64.750.000 VND – Sáu mươi tư triệu bảy trăm năm mươi nghìn đồng chẵn.) Thanh toán tạm ứng 35% ngay sau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設備安裝款：支付合約總金額之 55%，即 101.750.000 VND（越南盾壹億零壹佰柒拾伍萬整），於設備安裝及系統建置完成並經雙方簽署確認文件後。</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Thanh toán 55% giá trị hợp đồng (101.750.000 VND – Một trăm lẻ một triệu bảy trăm năm mươi nghìn đồng chẵn.) Sau khi bàn giao thiết bị và hoàn thành cài đặt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驗收尾款：支付合約總金額之 10%，即 18.500.000 VND（越南盾壹仟捌佰伍拾萬整），於最終驗收（FAC）完成並簽署驗收交付文件後。</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Thanh toán 10% giá trị hợp đồng (18.500.000 VND – Mười tám triệu năm trăm nghìn đồng chẵn.) Sau khi khách hàng nghiệm thu hoàn tất và ký biên bản bàn giao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GIẢI PHÁP CÔNG NGHỆ MINH PHÁT</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NGUYỄN MINH KHẢI</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